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阿城区审计局</w:t>
      </w:r>
    </w:p>
    <w:p>
      <w:pPr>
        <w:widowControl w:val="0"/>
        <w:numPr>
          <w:ilvl w:val="0"/>
          <w:numId w:val="0"/>
        </w:num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2022年政府信息公开工作年度报告</w:t>
      </w:r>
    </w:p>
    <w:p>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widowControl w:val="0"/>
        <w:numPr>
          <w:ilvl w:val="0"/>
          <w:numId w:val="0"/>
        </w:numPr>
        <w:wordWrap/>
        <w:adjustRightInd/>
        <w:snapToGrid/>
        <w:spacing w:beforeAutospacing="0" w:line="560" w:lineRule="exact"/>
        <w:ind w:left="0" w:leftChars="0" w:right="0" w:firstLine="632" w:firstLineChars="20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202</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年1月1日至202</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年12月31日截止。本报告全面客观的反映了阿城区</w:t>
      </w:r>
      <w:r>
        <w:rPr>
          <w:rFonts w:hint="eastAsia" w:ascii="仿宋_GB2312" w:hAnsi="仿宋_GB2312" w:cs="仿宋_GB2312"/>
          <w:b w:val="0"/>
          <w:bCs w:val="0"/>
          <w:sz w:val="32"/>
          <w:szCs w:val="32"/>
          <w:lang w:val="en-US" w:eastAsia="zh-CN"/>
        </w:rPr>
        <w:t>审计局</w:t>
      </w: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年度政府信息公开工作取得的成效和存在的问题。本报告通过阿城区人民政府网站（http://www.acheng.gov.cn/）向社会公开，欢迎社会各界进行监督、提出意见，欢迎广大机关企事业单位和人民群众参阅使用。如对本报告有疑问、意见和建议，请联系阿城区</w:t>
      </w:r>
      <w:r>
        <w:rPr>
          <w:rFonts w:hint="eastAsia" w:ascii="仿宋_GB2312" w:hAnsi="仿宋_GB2312" w:cs="仿宋_GB2312"/>
          <w:b w:val="0"/>
          <w:bCs w:val="0"/>
          <w:sz w:val="32"/>
          <w:szCs w:val="32"/>
          <w:lang w:val="en-US" w:eastAsia="zh-CN"/>
        </w:rPr>
        <w:t>审计局</w:t>
      </w:r>
      <w:r>
        <w:rPr>
          <w:rFonts w:hint="eastAsia" w:ascii="仿宋_GB2312" w:hAnsi="仿宋_GB2312" w:eastAsia="仿宋_GB2312" w:cs="仿宋_GB2312"/>
          <w:b w:val="0"/>
          <w:bCs w:val="0"/>
          <w:sz w:val="32"/>
          <w:szCs w:val="32"/>
          <w:lang w:val="en-US" w:eastAsia="zh-CN"/>
        </w:rPr>
        <w:t>，地址：阿城区</w:t>
      </w:r>
      <w:r>
        <w:rPr>
          <w:rFonts w:hint="eastAsia" w:ascii="仿宋_GB2312" w:hAnsi="仿宋_GB2312" w:cs="仿宋_GB2312"/>
          <w:b w:val="0"/>
          <w:bCs w:val="0"/>
          <w:sz w:val="32"/>
          <w:szCs w:val="32"/>
          <w:lang w:val="en-US" w:eastAsia="zh-CN"/>
        </w:rPr>
        <w:t>金都大</w:t>
      </w:r>
      <w:r>
        <w:rPr>
          <w:rFonts w:hint="eastAsia" w:ascii="仿宋_GB2312" w:hAnsi="仿宋_GB2312" w:eastAsia="仿宋_GB2312" w:cs="仿宋_GB2312"/>
          <w:b w:val="0"/>
          <w:bCs w:val="0"/>
          <w:sz w:val="32"/>
          <w:szCs w:val="32"/>
          <w:lang w:val="en-US" w:eastAsia="zh-CN"/>
        </w:rPr>
        <w:t>街</w:t>
      </w:r>
      <w:r>
        <w:rPr>
          <w:rFonts w:hint="default" w:ascii="仿宋_GB2312" w:hAnsi="仿宋_GB2312" w:cs="仿宋_GB2312"/>
          <w:b w:val="0"/>
          <w:bCs w:val="0"/>
          <w:sz w:val="32"/>
          <w:szCs w:val="32"/>
          <w:lang w:val="en-US" w:eastAsia="zh-CN"/>
        </w:rPr>
        <w:t>157</w:t>
      </w:r>
      <w:r>
        <w:rPr>
          <w:rFonts w:hint="eastAsia" w:ascii="仿宋_GB2312" w:hAnsi="仿宋_GB2312" w:eastAsia="仿宋_GB2312" w:cs="仿宋_GB2312"/>
          <w:b w:val="0"/>
          <w:bCs w:val="0"/>
          <w:sz w:val="32"/>
          <w:szCs w:val="32"/>
          <w:lang w:val="en-US" w:eastAsia="zh-CN"/>
        </w:rPr>
        <w:t>号；邮编：150300；联系电话：</w:t>
      </w:r>
      <w:r>
        <w:rPr>
          <w:rFonts w:hint="eastAsia"/>
        </w:rPr>
        <w:t>0451-53723058</w:t>
      </w:r>
      <w:r>
        <w:rPr>
          <w:rFonts w:hint="eastAsia" w:ascii="仿宋_GB2312" w:hAnsi="仿宋_GB2312" w:eastAsia="仿宋_GB2312" w:cs="仿宋_GB2312"/>
          <w:b w:val="0"/>
          <w:bCs w:val="0"/>
          <w:sz w:val="32"/>
          <w:szCs w:val="32"/>
          <w:lang w:val="en-US" w:eastAsia="zh-CN"/>
        </w:rPr>
        <w:t>。</w:t>
      </w:r>
    </w:p>
    <w:p>
      <w:pPr>
        <w:widowControl w:val="0"/>
        <w:numPr>
          <w:ilvl w:val="0"/>
          <w:numId w:val="0"/>
        </w:numPr>
        <w:wordWrap/>
        <w:adjustRightInd/>
        <w:snapToGrid/>
        <w:spacing w:beforeAutospacing="0" w:line="560"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widowControl/>
        <w:numPr>
          <w:ilvl w:val="0"/>
          <w:numId w:val="0"/>
        </w:numPr>
        <w:wordWrap/>
        <w:adjustRightInd/>
        <w:snapToGrid/>
        <w:spacing w:beforeAutospacing="0" w:line="560" w:lineRule="exact"/>
        <w:ind w:left="0" w:leftChars="0" w:right="0"/>
        <w:jc w:val="both"/>
        <w:textAlignment w:val="auto"/>
        <w:outlineLvl w:val="9"/>
        <w:rPr>
          <w:rFonts w:hint="eastAsia"/>
          <w:lang w:val="en-US" w:eastAsia="zh-CN"/>
        </w:rPr>
      </w:pPr>
      <w:r>
        <w:rPr>
          <w:rFonts w:hint="eastAsia"/>
          <w:lang w:val="en-US" w:eastAsia="zh-CN"/>
        </w:rPr>
        <w:t xml:space="preserve">    2022年，阿城区审计局政务信息公开工作在区委、区政府的正确领导下，认真贯彻落实《中华人民共和国政府信息公开条例》以及省、市、区关于政务公开工作的</w:t>
      </w:r>
      <w:r>
        <w:rPr>
          <w:rFonts w:hint="eastAsia" w:ascii="仿宋_GB2312" w:hAnsi="仿宋_GB2312" w:eastAsia="仿宋_GB2312" w:cs="仿宋_GB2312"/>
          <w:color w:val="auto"/>
          <w:kern w:val="21"/>
          <w:sz w:val="32"/>
          <w:szCs w:val="32"/>
        </w:rPr>
        <w:t>相关工作</w:t>
      </w:r>
      <w:r>
        <w:rPr>
          <w:rFonts w:hint="eastAsia"/>
          <w:lang w:val="en-US" w:eastAsia="zh-CN"/>
        </w:rPr>
        <w:t>部署，深入学习贯彻习近平新时代中国特色社会主义思想和习近平总书记关于审计工作的重要论述，认真贯彻落实党的二十大精神</w:t>
      </w:r>
      <w:bookmarkStart w:id="0" w:name="_GoBack"/>
      <w:bookmarkEnd w:id="0"/>
      <w:r>
        <w:rPr>
          <w:rFonts w:hint="eastAsia"/>
          <w:lang w:val="en-US" w:eastAsia="zh-CN"/>
        </w:rPr>
        <w:t>，按照政务公开有关要求，进一步加大政府信息公开工作力度，加强主动公开，推进重点领域信息公开，规范依申请公开，依法推进政府信息公开，最大限度保障公民、法人、和其他组织依法获取政府信息的权利，充分发挥政府信息对人民群众生产、生活和经济社会活动的服务作用。同时严格落实政务信息公开审批机制，先审后发，促进政务公开工作走上制度化、规范化轨道。</w:t>
      </w:r>
    </w:p>
    <w:p>
      <w:pPr>
        <w:widowControl/>
        <w:wordWrap/>
        <w:adjustRightInd/>
        <w:snapToGrid/>
        <w:spacing w:beforeAutospacing="0" w:line="560" w:lineRule="exact"/>
        <w:ind w:left="0" w:leftChars="0" w:right="0" w:firstLine="480"/>
        <w:jc w:val="both"/>
        <w:textAlignment w:val="auto"/>
        <w:outlineLvl w:val="9"/>
        <w:rPr>
          <w:rFonts w:hint="eastAsia"/>
          <w:lang w:val="en-US" w:eastAsia="zh-CN"/>
        </w:rPr>
      </w:pPr>
      <w:r>
        <w:rPr>
          <w:rFonts w:hint="eastAsia" w:ascii="楷体_GB2312" w:hAnsi="楷体_GB2312" w:eastAsia="楷体_GB2312" w:cs="楷体_GB2312"/>
          <w:lang w:val="en-US" w:eastAsia="zh-CN"/>
        </w:rPr>
        <w:t>（一）主动公开情况。</w:t>
      </w:r>
      <w:r>
        <w:rPr>
          <w:rFonts w:hint="eastAsia"/>
          <w:lang w:val="en-US" w:eastAsia="zh-CN"/>
        </w:rPr>
        <w:t>按照《中华人民共和国政府信息公开条例》坚持“公开为常态，不公开为例外”，积极做好主动公开工作。2022年阿城区审计局通过阿城区人民政府门户网站审计局栏目主动公开政府信息，主要包括：领导机构及分工、机关职能、内设机构设置、工作动态工作动态、审计结果公开、部门预决算等。公开的政府信息中均未涉及国家秘密、商业秘密和个人隐私。全年未收到政府信息依申请公开事项。</w:t>
      </w:r>
    </w:p>
    <w:p>
      <w:pPr>
        <w:widowControl/>
        <w:wordWrap/>
        <w:adjustRightInd/>
        <w:snapToGrid/>
        <w:spacing w:beforeAutospacing="0" w:line="560" w:lineRule="exact"/>
        <w:ind w:left="0" w:leftChars="0" w:right="0" w:firstLine="480"/>
        <w:jc w:val="both"/>
        <w:textAlignment w:val="auto"/>
        <w:outlineLvl w:val="9"/>
        <w:rPr>
          <w:rFonts w:hint="eastAsia"/>
          <w:lang w:val="en-US" w:eastAsia="zh-CN"/>
        </w:rPr>
      </w:pPr>
      <w:r>
        <w:rPr>
          <w:rFonts w:hint="eastAsia" w:ascii="楷体_GB2312" w:hAnsi="楷体_GB2312" w:eastAsia="楷体_GB2312" w:cs="楷体_GB2312"/>
          <w:lang w:val="en-US" w:eastAsia="zh-CN"/>
        </w:rPr>
        <w:t>（二）政府信息依申请公开情况。</w:t>
      </w:r>
      <w:r>
        <w:rPr>
          <w:rFonts w:hint="eastAsia"/>
          <w:lang w:val="en-US" w:eastAsia="zh-CN"/>
        </w:rPr>
        <w:t>2022年度，本单位未接到依申请公开政府信息申请。</w:t>
      </w:r>
    </w:p>
    <w:p>
      <w:pPr>
        <w:widowControl w:val="0"/>
        <w:numPr>
          <w:ilvl w:val="0"/>
          <w:numId w:val="0"/>
        </w:numPr>
        <w:wordWrap/>
        <w:adjustRightInd/>
        <w:snapToGrid/>
        <w:spacing w:beforeAutospacing="0" w:line="560" w:lineRule="exact"/>
        <w:ind w:left="0" w:leftChars="0" w:right="0"/>
        <w:jc w:val="both"/>
        <w:textAlignment w:val="auto"/>
        <w:outlineLvl w:val="9"/>
        <w:rPr>
          <w:rFonts w:hint="eastAsia"/>
          <w:lang w:val="en-US" w:eastAsia="zh-CN"/>
        </w:rPr>
      </w:pPr>
      <w:r>
        <w:rPr>
          <w:rFonts w:hint="eastAsia" w:ascii="楷体_GB2312" w:hAnsi="楷体_GB2312" w:eastAsia="楷体_GB2312" w:cs="楷体_GB2312"/>
          <w:lang w:val="en-US" w:eastAsia="zh-CN"/>
        </w:rPr>
        <w:t xml:space="preserve">   （三）政府信息管理情况。</w:t>
      </w:r>
      <w:r>
        <w:rPr>
          <w:rFonts w:hint="eastAsia"/>
          <w:lang w:val="en-US" w:eastAsia="zh-CN"/>
        </w:rPr>
        <w:t>2022年度，统筹推进疫情防控和审计项目按时完成，及时发布工作动态等信息。</w:t>
      </w:r>
    </w:p>
    <w:p>
      <w:pPr>
        <w:widowControl/>
        <w:wordWrap/>
        <w:adjustRightInd/>
        <w:snapToGrid/>
        <w:spacing w:beforeAutospacing="0" w:line="560" w:lineRule="exact"/>
        <w:ind w:left="0" w:leftChars="0" w:right="0" w:firstLine="480"/>
        <w:jc w:val="both"/>
        <w:textAlignment w:val="auto"/>
        <w:outlineLvl w:val="9"/>
        <w:rPr>
          <w:rFonts w:hint="eastAsia"/>
          <w:lang w:val="en-US" w:eastAsia="zh-CN"/>
        </w:rPr>
      </w:pPr>
      <w:r>
        <w:rPr>
          <w:rFonts w:hint="eastAsia"/>
          <w:lang w:val="en-US" w:eastAsia="zh-CN"/>
        </w:rPr>
        <w:t xml:space="preserve">  </w:t>
      </w:r>
      <w:r>
        <w:rPr>
          <w:rFonts w:hint="eastAsia" w:ascii="楷体_GB2312" w:hAnsi="楷体_GB2312" w:eastAsia="楷体_GB2312" w:cs="楷体_GB2312"/>
          <w:lang w:val="en-US" w:eastAsia="zh-CN"/>
        </w:rPr>
        <w:t>（四）</w:t>
      </w:r>
      <w:r>
        <w:rPr>
          <w:rFonts w:hint="eastAsia"/>
          <w:lang w:val="en-US" w:eastAsia="zh-CN"/>
        </w:rPr>
        <w:t>政府信息公开平台建设</w:t>
      </w:r>
      <w:r>
        <w:rPr>
          <w:rFonts w:hint="eastAsia" w:ascii="楷体_GB2312" w:hAnsi="楷体_GB2312" w:eastAsia="楷体_GB2312" w:cs="楷体_GB2312"/>
          <w:lang w:val="en-US" w:eastAsia="zh-CN"/>
        </w:rPr>
        <w:t>情况。</w:t>
      </w:r>
      <w:r>
        <w:rPr>
          <w:rFonts w:hint="eastAsia"/>
          <w:lang w:val="en-US" w:eastAsia="zh-CN"/>
        </w:rPr>
        <w:t>区审计局未设置单独的网站和新媒体平台。</w:t>
      </w:r>
    </w:p>
    <w:p>
      <w:pPr>
        <w:widowControl/>
        <w:wordWrap/>
        <w:adjustRightInd/>
        <w:snapToGrid/>
        <w:spacing w:beforeAutospacing="0" w:line="560" w:lineRule="exact"/>
        <w:ind w:left="0" w:leftChars="0" w:right="0" w:firstLine="480"/>
        <w:jc w:val="both"/>
        <w:textAlignment w:val="auto"/>
        <w:outlineLvl w:val="9"/>
        <w:rPr>
          <w:rFonts w:hint="eastAsia"/>
          <w:lang w:val="en-US" w:eastAsia="zh-CN"/>
        </w:rPr>
      </w:pPr>
      <w:r>
        <w:rPr>
          <w:rFonts w:hint="eastAsia" w:ascii="楷体_GB2312" w:hAnsi="楷体_GB2312" w:eastAsia="楷体_GB2312" w:cs="楷体_GB2312"/>
          <w:lang w:val="en-US" w:eastAsia="zh-CN"/>
        </w:rPr>
        <w:t xml:space="preserve">  （五）</w:t>
      </w:r>
      <w:r>
        <w:rPr>
          <w:rFonts w:hint="eastAsia"/>
          <w:lang w:val="en-US" w:eastAsia="zh-CN"/>
        </w:rPr>
        <w:t>监督保障</w:t>
      </w:r>
      <w:r>
        <w:rPr>
          <w:rFonts w:hint="eastAsia" w:ascii="楷体_GB2312" w:hAnsi="楷体_GB2312" w:eastAsia="楷体_GB2312" w:cs="楷体_GB2312"/>
          <w:lang w:val="en-US" w:eastAsia="zh-CN"/>
        </w:rPr>
        <w:t>情况。</w:t>
      </w:r>
      <w:r>
        <w:rPr>
          <w:rFonts w:hint="eastAsia"/>
          <w:lang w:val="en-US" w:eastAsia="zh-CN"/>
        </w:rPr>
        <w:t>一是高度重视做好政务公开工作，将政务公开工作列入领导分工，专人负责，实行分管领导审核，主要领导审批制度。二是加强日常监管，及时纠正错误信息，确保发布信息内容及时、合法、完整、准确。</w:t>
      </w:r>
    </w:p>
    <w:p>
      <w:pPr>
        <w:widowControl w:val="0"/>
        <w:numPr>
          <w:ilvl w:val="0"/>
          <w:numId w:val="0"/>
        </w:numPr>
        <w:wordWrap/>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二、主动公开政府信息情况</w:t>
      </w:r>
    </w:p>
    <w:tbl>
      <w:tblPr>
        <w:tblStyle w:val="4"/>
        <w:tblW w:w="963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2321"/>
        <w:gridCol w:w="2378"/>
        <w:gridCol w:w="2560"/>
        <w:gridCol w:w="237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62" w:hRule="atLeast"/>
          <w:jc w:val="center"/>
        </w:trPr>
        <w:tc>
          <w:tcPr>
            <w:tcW w:w="7300"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1801"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Style w:val="7"/>
                <w:lang w:val="en-US" w:eastAsia="zh-CN" w:bidi="ar-SA"/>
              </w:rPr>
              <w:t>本年</w:t>
            </w:r>
            <w:r>
              <w:rPr>
                <w:rStyle w:val="8"/>
                <w:rFonts w:eastAsia="宋体"/>
                <w:lang w:val="en-US" w:eastAsia="zh-CN" w:bidi="ar-SA"/>
              </w:rPr>
              <w:t>制</w:t>
            </w:r>
            <w:r>
              <w:rPr>
                <w:rStyle w:val="7"/>
                <w:lang w:val="en-US" w:eastAsia="zh-CN" w:bidi="ar-SA"/>
              </w:rPr>
              <w:t>发件</w:t>
            </w:r>
            <w:r>
              <w:rPr>
                <w:rStyle w:val="8"/>
                <w:rFonts w:eastAsia="宋体"/>
                <w:lang w:val="en-US" w:eastAsia="zh-CN" w:bidi="ar-SA"/>
              </w:rPr>
              <w:t>数</w:t>
            </w:r>
          </w:p>
        </w:tc>
        <w:tc>
          <w:tcPr>
            <w:tcW w:w="1939"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本年废止件数</w:t>
            </w:r>
          </w:p>
        </w:tc>
        <w:tc>
          <w:tcPr>
            <w:tcW w:w="1802"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Style w:val="7"/>
                <w:lang w:val="en-US" w:eastAsia="zh-CN" w:bidi="ar-SA"/>
              </w:rPr>
              <w:t>现行有效件</w:t>
            </w:r>
            <w:r>
              <w:rPr>
                <w:rStyle w:val="8"/>
                <w:rFonts w:eastAsia="宋体"/>
                <w:lang w:val="en-US" w:eastAsia="zh-CN" w:bidi="ar-SA"/>
              </w:rPr>
              <w:t>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规章</w:t>
            </w:r>
          </w:p>
        </w:tc>
        <w:tc>
          <w:tcPr>
            <w:tcW w:w="1801" w:type="dxa"/>
            <w:tcBorders>
              <w:tl2br w:val="nil"/>
              <w:tr2bl w:val="nil"/>
            </w:tcBorders>
            <w:vAlign w:val="center"/>
          </w:tcPr>
          <w:p>
            <w:pPr>
              <w:widowControl/>
              <w:spacing w:beforeAutospacing="0" w:after="0" w:afterAutospacing="0"/>
              <w:ind w:left="0" w:right="0" w:firstLine="0"/>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939"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802" w:type="dxa"/>
            <w:tcBorders>
              <w:tl2br w:val="nil"/>
              <w:tr2bl w:val="nil"/>
            </w:tcBorders>
            <w:vAlign w:val="center"/>
          </w:tcPr>
          <w:p>
            <w:pPr>
              <w:jc w:val="center"/>
              <w:rPr>
                <w:rFonts w:hint="eastAsia" w:ascii="Calibri" w:hAnsi="Calibri" w:eastAsia="等线" w:cs="Calibri"/>
                <w:i w:val="0"/>
                <w:color w:val="000000"/>
                <w:sz w:val="21"/>
                <w:szCs w:val="21"/>
                <w:u w:val="none"/>
                <w:lang w:eastAsia="zh-CN"/>
              </w:rPr>
            </w:pPr>
            <w:r>
              <w:rPr>
                <w:rFonts w:hint="eastAsia" w:ascii="Calibri" w:hAnsi="Calibri" w:eastAsia="等线" w:cs="Calibri"/>
                <w:i w:val="0"/>
                <w:color w:val="000000"/>
                <w:sz w:val="21"/>
                <w:szCs w:val="21"/>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行政规范性文件</w:t>
            </w:r>
          </w:p>
        </w:tc>
        <w:tc>
          <w:tcPr>
            <w:tcW w:w="1801"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939"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802" w:type="dxa"/>
            <w:tcBorders>
              <w:tl2br w:val="nil"/>
              <w:tr2bl w:val="nil"/>
            </w:tcBorders>
            <w:vAlign w:val="center"/>
          </w:tcPr>
          <w:p>
            <w:pPr>
              <w:jc w:val="center"/>
              <w:rPr>
                <w:rFonts w:hint="eastAsia" w:ascii="Calibri" w:hAnsi="Calibri" w:eastAsia="等线" w:cs="Calibri"/>
                <w:i w:val="0"/>
                <w:color w:val="000000"/>
                <w:sz w:val="21"/>
                <w:szCs w:val="21"/>
                <w:u w:val="none"/>
                <w:lang w:eastAsia="zh-CN"/>
              </w:rPr>
            </w:pPr>
            <w:r>
              <w:rPr>
                <w:rFonts w:hint="eastAsia" w:ascii="Calibri" w:hAnsi="Calibri" w:eastAsia="等线" w:cs="Calibri"/>
                <w:i w:val="0"/>
                <w:color w:val="000000"/>
                <w:sz w:val="21"/>
                <w:szCs w:val="21"/>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第二十条第（五）项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行政许可</w:t>
            </w:r>
          </w:p>
        </w:tc>
        <w:tc>
          <w:tcPr>
            <w:tcW w:w="5542" w:type="dxa"/>
            <w:gridSpan w:val="3"/>
            <w:tcBorders>
              <w:tl2br w:val="nil"/>
              <w:tr2bl w:val="nil"/>
            </w:tcBorders>
            <w:vAlign w:val="center"/>
          </w:tcPr>
          <w:p>
            <w:pPr>
              <w:jc w:val="center"/>
              <w:rPr>
                <w:rFonts w:hint="eastAsia" w:ascii="Calibri" w:hAnsi="Calibri" w:eastAsia="等线" w:cs="Calibri"/>
                <w:i w:val="0"/>
                <w:color w:val="000000"/>
                <w:sz w:val="21"/>
                <w:szCs w:val="21"/>
                <w:u w:val="none"/>
                <w:lang w:eastAsia="zh-CN"/>
              </w:rPr>
            </w:pPr>
            <w:r>
              <w:rPr>
                <w:rFonts w:hint="eastAsia" w:ascii="Calibri" w:hAnsi="Calibri" w:eastAsia="等线" w:cs="Calibri"/>
                <w:i w:val="0"/>
                <w:color w:val="000000"/>
                <w:sz w:val="21"/>
                <w:szCs w:val="21"/>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第二十条第（六）项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行政处罚</w:t>
            </w:r>
          </w:p>
        </w:tc>
        <w:tc>
          <w:tcPr>
            <w:tcW w:w="5542" w:type="dxa"/>
            <w:gridSpan w:val="3"/>
            <w:tcBorders>
              <w:tl2br w:val="nil"/>
              <w:tr2bl w:val="nil"/>
            </w:tcBorders>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行政强制</w:t>
            </w:r>
          </w:p>
        </w:tc>
        <w:tc>
          <w:tcPr>
            <w:tcW w:w="5542" w:type="dxa"/>
            <w:gridSpan w:val="3"/>
            <w:tcBorders>
              <w:tl2br w:val="nil"/>
              <w:tr2bl w:val="nil"/>
            </w:tcBorders>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第二十条第（八）项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本年收费金额（单位：万元）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53" w:hRule="atLeast"/>
          <w:jc w:val="center"/>
        </w:trPr>
        <w:tc>
          <w:tcPr>
            <w:tcW w:w="1758" w:type="dxa"/>
            <w:tcBorders>
              <w:tl2br w:val="nil"/>
              <w:tr2bl w:val="nil"/>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行政事业性收费</w:t>
            </w:r>
          </w:p>
        </w:tc>
        <w:tc>
          <w:tcPr>
            <w:tcW w:w="5542" w:type="dxa"/>
            <w:gridSpan w:val="3"/>
            <w:tcBorders>
              <w:tl2br w:val="nil"/>
              <w:tr2bl w:val="nil"/>
            </w:tcBorders>
            <w:vAlign w:val="center"/>
          </w:tcPr>
          <w:p>
            <w:pPr>
              <w:jc w:val="center"/>
              <w:rPr>
                <w:rFonts w:hint="eastAsia" w:ascii="等线" w:hAnsi="等线" w:eastAsia="等线" w:cs="等线"/>
                <w:i w:val="0"/>
                <w:color w:val="000000"/>
                <w:sz w:val="22"/>
                <w:szCs w:val="22"/>
                <w:u w:val="none"/>
                <w:lang w:eastAsia="zh-CN"/>
              </w:rPr>
            </w:pPr>
            <w:r>
              <w:rPr>
                <w:rFonts w:hint="eastAsia" w:ascii="等线" w:hAnsi="等线" w:eastAsia="等线" w:cs="等线"/>
                <w:i w:val="0"/>
                <w:color w:val="000000"/>
                <w:sz w:val="22"/>
                <w:szCs w:val="22"/>
                <w:u w:val="none"/>
                <w:lang w:eastAsia="zh-CN"/>
              </w:rPr>
              <w:t>0</w:t>
            </w:r>
          </w:p>
        </w:tc>
      </w:tr>
    </w:tbl>
    <w:p>
      <w:pPr>
        <w:widowControl w:val="0"/>
        <w:numPr>
          <w:ilvl w:val="0"/>
          <w:numId w:val="0"/>
        </w:numPr>
        <w:wordWrap/>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8"/>
        <w:gridCol w:w="1067"/>
        <w:gridCol w:w="2480"/>
        <w:gridCol w:w="827"/>
        <w:gridCol w:w="785"/>
        <w:gridCol w:w="679"/>
        <w:gridCol w:w="810"/>
        <w:gridCol w:w="801"/>
        <w:gridCol w:w="785"/>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3178" w:type="dxa"/>
            <w:gridSpan w:val="3"/>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SA"/>
              </w:rPr>
              <w:t>（本列数据的勾稽关系为：第一项加第二项之和，等于第三项加第四项之和）</w:t>
            </w:r>
          </w:p>
        </w:tc>
        <w:tc>
          <w:tcPr>
            <w:tcW w:w="4141" w:type="dxa"/>
            <w:gridSpan w:val="7"/>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3178"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楷体" w:hAnsi="楷体" w:eastAsia="楷体" w:cs="楷体"/>
                <w:i w:val="0"/>
                <w:color w:val="000000"/>
                <w:sz w:val="20"/>
                <w:szCs w:val="20"/>
                <w:u w:val="none"/>
              </w:rPr>
            </w:pPr>
          </w:p>
        </w:tc>
        <w:tc>
          <w:tcPr>
            <w:tcW w:w="628" w:type="dxa"/>
            <w:vMerge w:val="restart"/>
            <w:tcBorders>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自然人</w:t>
            </w:r>
          </w:p>
        </w:tc>
        <w:tc>
          <w:tcPr>
            <w:tcW w:w="2931" w:type="dxa"/>
            <w:gridSpan w:val="5"/>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法人或其他组织</w:t>
            </w:r>
          </w:p>
        </w:tc>
        <w:tc>
          <w:tcPr>
            <w:tcW w:w="582"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3178"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楷体" w:hAnsi="楷体" w:eastAsia="楷体" w:cs="楷体"/>
                <w:i w:val="0"/>
                <w:color w:val="000000"/>
                <w:sz w:val="20"/>
                <w:szCs w:val="20"/>
                <w:u w:val="none"/>
              </w:rPr>
            </w:pPr>
          </w:p>
        </w:tc>
        <w:tc>
          <w:tcPr>
            <w:tcW w:w="628"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96" w:type="dxa"/>
            <w:tcBorders>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商业</w:t>
            </w:r>
          </w:p>
        </w:tc>
        <w:tc>
          <w:tcPr>
            <w:tcW w:w="516" w:type="dxa"/>
            <w:tcBorders>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科研</w:t>
            </w:r>
          </w:p>
        </w:tc>
        <w:tc>
          <w:tcPr>
            <w:tcW w:w="615"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社会</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公益</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组织</w:t>
            </w:r>
          </w:p>
        </w:tc>
        <w:tc>
          <w:tcPr>
            <w:tcW w:w="608"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法律</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服务</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596"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其他</w:t>
            </w:r>
          </w:p>
        </w:tc>
        <w:tc>
          <w:tcPr>
            <w:tcW w:w="582"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3178"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楷体" w:hAnsi="楷体" w:eastAsia="楷体" w:cs="楷体"/>
                <w:i w:val="0"/>
                <w:color w:val="000000"/>
                <w:sz w:val="20"/>
                <w:szCs w:val="20"/>
                <w:u w:val="none"/>
              </w:rPr>
            </w:pPr>
          </w:p>
        </w:tc>
        <w:tc>
          <w:tcPr>
            <w:tcW w:w="628"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96" w:type="dxa"/>
            <w:tcBorders>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企业</w:t>
            </w:r>
          </w:p>
        </w:tc>
        <w:tc>
          <w:tcPr>
            <w:tcW w:w="516" w:type="dxa"/>
            <w:tcBorders>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615"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6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96"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82"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jc w:val="center"/>
        </w:trPr>
        <w:tc>
          <w:tcPr>
            <w:tcW w:w="3178"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一、本年新收政府信息公开申请数量</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rPr>
            </w:pPr>
            <w:r>
              <w:rPr>
                <w:rFonts w:hint="eastAsia" w:ascii="宋体" w:hAnsi="宋体" w:cs="宋体"/>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3178"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二、上年结转政府信息公开申请数量</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485" w:type="dxa"/>
            <w:vMerge w:val="restart"/>
            <w:tcBorders>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三、本年度办理结果</w:t>
            </w:r>
          </w:p>
        </w:tc>
        <w:tc>
          <w:tcPr>
            <w:tcW w:w="2693" w:type="dxa"/>
            <w:gridSpan w:val="2"/>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（一）予以公开</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693" w:type="dxa"/>
            <w:gridSpan w:val="2"/>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Style w:val="9"/>
                <w:lang w:val="en-US" w:eastAsia="zh-CN" w:bidi="ar-SA"/>
              </w:rPr>
              <w:t>（二）部分公开</w:t>
            </w:r>
            <w:r>
              <w:rPr>
                <w:rFonts w:hint="eastAsia" w:ascii="楷体" w:hAnsi="楷体" w:eastAsia="楷体" w:cs="楷体"/>
                <w:i w:val="0"/>
                <w:color w:val="000000"/>
                <w:kern w:val="0"/>
                <w:sz w:val="20"/>
                <w:szCs w:val="20"/>
                <w:u w:val="none"/>
                <w:lang w:val="en-US" w:eastAsia="zh-CN" w:bidi="ar-SA"/>
              </w:rPr>
              <w:t>（区分处理的，只计这一情形，不计其他情形）</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（三）不予公开</w:t>
            </w: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1.属于国家秘密</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top w:val="single" w:color="000000" w:sz="12" w:space="0"/>
              <w:bottom w:val="single" w:color="000000" w:sz="12" w:space="0"/>
              <w:right w:val="single" w:color="000000" w:sz="12" w:space="0"/>
            </w:tcBorders>
            <w:vAlign w:val="center"/>
          </w:tcPr>
          <w:p>
            <w:pPr>
              <w:jc w:val="center"/>
              <w:rPr>
                <w:rFonts w:hint="default" w:ascii="Calibri" w:hAnsi="Calibri" w:eastAsia="等线" w:cs="Calibri"/>
                <w:i w:val="0"/>
                <w:color w:val="000000"/>
                <w:sz w:val="20"/>
                <w:szCs w:val="20"/>
                <w:u w:val="none"/>
              </w:rPr>
            </w:pPr>
            <w:r>
              <w:rPr>
                <w:rFonts w:hint="eastAsia" w:ascii="宋体" w:hAnsi="宋体" w:cs="宋体"/>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2.其他法律行政法规禁止公开</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3.危及“三安全一稳定”</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4.保护第三方合法权益</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5.属于三类内部事务信息</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6.属于四类过程性信息</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7.属于行政执法案卷</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8.属于行政查询事项</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（四）无法提供</w:t>
            </w: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1.本机关不掌握相关政府信息</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2.没有现成信息需要另行制作</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top w:val="single" w:color="000000" w:sz="12" w:space="0"/>
              <w:left w:val="single" w:color="000000" w:sz="12" w:space="0"/>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3.补正后申请内容仍不明确</w:t>
            </w:r>
          </w:p>
        </w:tc>
        <w:tc>
          <w:tcPr>
            <w:tcW w:w="628"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（五）不予处理</w:t>
            </w:r>
          </w:p>
        </w:tc>
        <w:tc>
          <w:tcPr>
            <w:tcW w:w="1883" w:type="dxa"/>
            <w:tcBorders>
              <w:top w:val="single" w:color="000000" w:sz="12" w:space="0"/>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1.信访举报投诉类申请</w:t>
            </w:r>
          </w:p>
        </w:tc>
        <w:tc>
          <w:tcPr>
            <w:tcW w:w="628"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2.重复申请</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3.要求提供公开出版物</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4.无正当理由大量反复申请</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5.要求行政机关确认或重新出具已获取信息</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（六）其他处理</w:t>
            </w:r>
          </w:p>
        </w:tc>
        <w:tc>
          <w:tcPr>
            <w:tcW w:w="1883" w:type="dxa"/>
            <w:tcBorders>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1.申请人无正当理由逾期不补正、行政机关不再处理其政府信息公开申请</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3"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2.申请人逾期未按收费通知要求缴纳费用、行政机关不再处理其政府信息公开申请</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1883" w:type="dxa"/>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3.其他</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693" w:type="dxa"/>
            <w:gridSpan w:val="2"/>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（七）总计</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jc w:val="center"/>
        </w:trPr>
        <w:tc>
          <w:tcPr>
            <w:tcW w:w="3178"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四、结转下年度继续办理</w:t>
            </w:r>
          </w:p>
        </w:tc>
        <w:tc>
          <w:tcPr>
            <w:tcW w:w="62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608"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96"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82" w:type="dxa"/>
            <w:tcBorders>
              <w:bottom w:val="single" w:color="000000" w:sz="12" w:space="0"/>
              <w:right w:val="single" w:color="000000" w:sz="12" w:space="0"/>
            </w:tcBorders>
            <w:vAlign w:val="center"/>
          </w:tcPr>
          <w:p>
            <w:pPr>
              <w:jc w:val="center"/>
              <w:rPr>
                <w:rFonts w:hint="eastAsia" w:ascii="等线" w:hAnsi="等线" w:eastAsia="等线" w:cs="等线"/>
                <w:i w:val="0"/>
                <w:color w:val="000000"/>
                <w:sz w:val="22"/>
                <w:szCs w:val="22"/>
                <w:u w:val="none"/>
                <w:lang w:eastAsia="zh-CN"/>
              </w:rPr>
            </w:pPr>
            <w:r>
              <w:rPr>
                <w:rFonts w:hint="eastAsia" w:ascii="Calibri" w:hAnsi="Calibri" w:eastAsia="等线" w:cs="Calibri"/>
                <w:i w:val="0"/>
                <w:color w:val="000000"/>
                <w:sz w:val="20"/>
                <w:szCs w:val="20"/>
                <w:u w:val="none"/>
                <w:lang w:eastAsia="zh-CN"/>
              </w:rPr>
              <w:t>0</w:t>
            </w:r>
          </w:p>
        </w:tc>
      </w:tr>
    </w:tbl>
    <w:p>
      <w:pPr>
        <w:widowControl w:val="0"/>
        <w:numPr>
          <w:ilvl w:val="0"/>
          <w:numId w:val="0"/>
        </w:numPr>
        <w:wordWrap/>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四、政府信息公开行政复议、行政诉讼情况</w:t>
      </w:r>
    </w:p>
    <w:tbl>
      <w:tblPr>
        <w:tblStyle w:val="4"/>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2"/>
        <w:gridCol w:w="662"/>
        <w:gridCol w:w="665"/>
        <w:gridCol w:w="667"/>
        <w:gridCol w:w="591"/>
        <w:gridCol w:w="665"/>
        <w:gridCol w:w="664"/>
        <w:gridCol w:w="668"/>
        <w:gridCol w:w="663"/>
        <w:gridCol w:w="665"/>
        <w:gridCol w:w="667"/>
        <w:gridCol w:w="663"/>
        <w:gridCol w:w="631"/>
        <w:gridCol w:w="508"/>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2427"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行政复议</w:t>
            </w:r>
          </w:p>
        </w:tc>
        <w:tc>
          <w:tcPr>
            <w:tcW w:w="4933" w:type="dxa"/>
            <w:gridSpan w:val="10"/>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restart"/>
            <w:tcBorders>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508"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50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451"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2539" w:type="dxa"/>
            <w:gridSpan w:val="5"/>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未经复议直接起诉</w:t>
            </w:r>
          </w:p>
        </w:tc>
        <w:tc>
          <w:tcPr>
            <w:tcW w:w="2394" w:type="dxa"/>
            <w:gridSpan w:val="5"/>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539"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394"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539"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394"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51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果 </w:t>
            </w:r>
          </w:p>
        </w:tc>
        <w:tc>
          <w:tcPr>
            <w:tcW w:w="50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结 </w:t>
            </w:r>
          </w:p>
        </w:tc>
        <w:tc>
          <w:tcPr>
            <w:tcW w:w="50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50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482"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38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509"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jc w:val="center"/>
        </w:trPr>
        <w:tc>
          <w:tcPr>
            <w:tcW w:w="453" w:type="dxa"/>
            <w:tcBorders>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6"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8"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9"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451"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8"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7"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1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6"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8"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9"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6"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482"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388"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eastAsia="zh-CN"/>
              </w:rPr>
            </w:pPr>
            <w:r>
              <w:rPr>
                <w:rFonts w:hint="eastAsia" w:ascii="Calibri" w:hAnsi="Calibri" w:eastAsia="等线" w:cs="Calibri"/>
                <w:i w:val="0"/>
                <w:color w:val="000000"/>
                <w:sz w:val="20"/>
                <w:szCs w:val="20"/>
                <w:u w:val="none"/>
                <w:lang w:eastAsia="zh-CN"/>
              </w:rPr>
              <w:t>0</w:t>
            </w:r>
          </w:p>
        </w:tc>
        <w:tc>
          <w:tcPr>
            <w:tcW w:w="509" w:type="dxa"/>
            <w:tcBorders>
              <w:bottom w:val="single" w:color="000000" w:sz="12" w:space="0"/>
              <w:right w:val="single" w:color="000000" w:sz="12" w:space="0"/>
            </w:tcBorders>
            <w:vAlign w:val="center"/>
          </w:tcPr>
          <w:p>
            <w:pPr>
              <w:jc w:val="center"/>
              <w:rPr>
                <w:rFonts w:hint="eastAsia" w:ascii="等线" w:hAnsi="等线" w:eastAsia="等线" w:cs="等线"/>
                <w:i w:val="0"/>
                <w:color w:val="000000"/>
                <w:sz w:val="22"/>
                <w:szCs w:val="22"/>
                <w:u w:val="none"/>
                <w:lang w:eastAsia="zh-CN"/>
              </w:rPr>
            </w:pPr>
            <w:r>
              <w:rPr>
                <w:rFonts w:hint="eastAsia" w:ascii="Calibri" w:hAnsi="Calibri" w:eastAsia="等线" w:cs="Calibri"/>
                <w:i w:val="0"/>
                <w:color w:val="000000"/>
                <w:sz w:val="20"/>
                <w:szCs w:val="20"/>
                <w:u w:val="none"/>
                <w:lang w:eastAsia="zh-CN"/>
              </w:rPr>
              <w:t>0</w:t>
            </w:r>
          </w:p>
        </w:tc>
      </w:tr>
    </w:tbl>
    <w:p>
      <w:pPr>
        <w:widowControl w:val="0"/>
        <w:numPr>
          <w:ilvl w:val="0"/>
          <w:numId w:val="0"/>
        </w:numPr>
        <w:wordWrap/>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五、存在的主要问题及改进情况</w:t>
      </w:r>
    </w:p>
    <w:p>
      <w:pPr>
        <w:numPr>
          <w:ilvl w:val="0"/>
          <w:numId w:val="1"/>
        </w:numPr>
        <w:wordWrap/>
        <w:adjustRightInd/>
        <w:snapToGrid/>
        <w:spacing w:line="560" w:lineRule="exact"/>
        <w:ind w:firstLine="632" w:firstLineChars="200"/>
        <w:textAlignment w:val="auto"/>
        <w:rPr>
          <w:rFonts w:hint="eastAsia" w:ascii="仿宋_GB2312" w:hAnsi="仿宋_GB2312" w:eastAsia="仿宋_GB2312" w:cs="仿宋_GB2312"/>
          <w:b w:val="0"/>
          <w:i w:val="0"/>
          <w:caps w:val="0"/>
          <w:color w:val="auto"/>
          <w:spacing w:val="0"/>
          <w:sz w:val="32"/>
          <w:szCs w:val="32"/>
          <w:u w:val="none"/>
        </w:rPr>
      </w:pPr>
      <w:r>
        <w:rPr>
          <w:rFonts w:hint="eastAsia" w:ascii="楷体_GB2312" w:hAnsi="楷体_GB2312" w:eastAsia="楷体_GB2312" w:cs="楷体_GB2312"/>
          <w:color w:val="121212"/>
          <w:sz w:val="32"/>
          <w:szCs w:val="32"/>
          <w:lang w:val="en-US" w:eastAsia="zh-CN"/>
        </w:rPr>
        <w:t>主要问题：</w:t>
      </w:r>
      <w:r>
        <w:rPr>
          <w:rFonts w:hint="eastAsia" w:ascii="仿宋_GB2312" w:hAnsi="仿宋_GB2312" w:eastAsia="仿宋_GB2312" w:cs="仿宋_GB2312"/>
          <w:b w:val="0"/>
          <w:i w:val="0"/>
          <w:caps w:val="0"/>
          <w:color w:val="auto"/>
          <w:spacing w:val="0"/>
          <w:sz w:val="32"/>
          <w:szCs w:val="32"/>
          <w:u w:val="none"/>
        </w:rPr>
        <w:t>202</w:t>
      </w:r>
      <w:r>
        <w:rPr>
          <w:rFonts w:hint="default" w:ascii="仿宋_GB2312" w:hAnsi="仿宋_GB2312" w:cs="仿宋_GB2312"/>
          <w:b w:val="0"/>
          <w:i w:val="0"/>
          <w:caps w:val="0"/>
          <w:color w:val="auto"/>
          <w:spacing w:val="0"/>
          <w:sz w:val="32"/>
          <w:szCs w:val="32"/>
          <w:u w:val="none"/>
          <w:lang w:val="en-US" w:eastAsia="zh-CN"/>
        </w:rPr>
        <w:t>2</w:t>
      </w:r>
      <w:r>
        <w:rPr>
          <w:rFonts w:hint="eastAsia" w:ascii="仿宋_GB2312" w:hAnsi="仿宋_GB2312" w:eastAsia="仿宋_GB2312" w:cs="仿宋_GB2312"/>
          <w:b w:val="0"/>
          <w:i w:val="0"/>
          <w:caps w:val="0"/>
          <w:color w:val="auto"/>
          <w:spacing w:val="0"/>
          <w:sz w:val="32"/>
          <w:szCs w:val="32"/>
          <w:u w:val="none"/>
        </w:rPr>
        <w:t>年，</w:t>
      </w:r>
      <w:r>
        <w:rPr>
          <w:rFonts w:hint="eastAsia" w:ascii="仿宋_GB2312" w:hAnsi="仿宋_GB2312" w:cs="仿宋_GB2312"/>
          <w:b w:val="0"/>
          <w:i w:val="0"/>
          <w:caps w:val="0"/>
          <w:color w:val="auto"/>
          <w:spacing w:val="0"/>
          <w:sz w:val="32"/>
          <w:szCs w:val="32"/>
          <w:u w:val="none"/>
          <w:lang w:val="en-US" w:eastAsia="zh-CN"/>
        </w:rPr>
        <w:t>阿城</w:t>
      </w:r>
      <w:r>
        <w:rPr>
          <w:rFonts w:hint="eastAsia" w:ascii="仿宋_GB2312" w:hAnsi="仿宋_GB2312" w:cs="仿宋_GB2312"/>
          <w:color w:val="auto"/>
          <w:kern w:val="21"/>
          <w:sz w:val="32"/>
          <w:szCs w:val="32"/>
          <w:lang w:eastAsia="zh-CN"/>
        </w:rPr>
        <w:t>区审计局政府信息公开工作稳步推进，但还存在一些不足。主要表现在：</w:t>
      </w:r>
      <w:r>
        <w:rPr>
          <w:rFonts w:hint="eastAsia" w:ascii="仿宋_GB2312" w:hAnsi="仿宋_GB2312" w:cs="仿宋_GB2312"/>
          <w:color w:val="auto"/>
          <w:kern w:val="21"/>
          <w:sz w:val="32"/>
          <w:szCs w:val="32"/>
          <w:lang w:val="en-US" w:eastAsia="zh-CN"/>
        </w:rPr>
        <w:t>一是</w:t>
      </w:r>
      <w:r>
        <w:rPr>
          <w:rFonts w:hint="eastAsia" w:ascii="仿宋_GB2312" w:hAnsi="仿宋_GB2312" w:cs="仿宋_GB2312"/>
          <w:color w:val="auto"/>
          <w:kern w:val="21"/>
          <w:sz w:val="32"/>
          <w:szCs w:val="32"/>
          <w:lang w:eastAsia="zh-CN"/>
        </w:rPr>
        <w:t>对信息公开工作的认识有待进一步提高。</w:t>
      </w:r>
      <w:r>
        <w:rPr>
          <w:rFonts w:hint="eastAsia" w:ascii="仿宋_GB2312" w:hAnsi="仿宋_GB2312" w:cs="仿宋_GB2312"/>
          <w:b w:val="0"/>
          <w:i w:val="0"/>
          <w:caps w:val="0"/>
          <w:color w:val="auto"/>
          <w:spacing w:val="0"/>
          <w:sz w:val="32"/>
          <w:szCs w:val="32"/>
          <w:u w:val="none"/>
          <w:lang w:eastAsia="zh-CN"/>
        </w:rPr>
        <w:t>二是</w:t>
      </w:r>
      <w:r>
        <w:rPr>
          <w:rFonts w:hint="eastAsia" w:ascii="仿宋_GB2312" w:hAnsi="仿宋_GB2312" w:eastAsia="仿宋_GB2312" w:cs="仿宋_GB2312"/>
          <w:color w:val="auto"/>
          <w:kern w:val="21"/>
          <w:sz w:val="32"/>
          <w:szCs w:val="32"/>
        </w:rPr>
        <w:t>信息公开的主动性和积极性有待进一步加强</w:t>
      </w:r>
      <w:r>
        <w:rPr>
          <w:rFonts w:hint="eastAsia" w:ascii="仿宋_GB2312" w:hAnsi="仿宋_GB2312" w:cs="仿宋_GB2312"/>
          <w:color w:val="auto"/>
          <w:kern w:val="21"/>
          <w:sz w:val="32"/>
          <w:szCs w:val="32"/>
          <w:lang w:eastAsia="zh-CN"/>
        </w:rPr>
        <w:t>。</w:t>
      </w:r>
    </w:p>
    <w:p>
      <w:pPr>
        <w:numPr>
          <w:ilvl w:val="0"/>
          <w:numId w:val="0"/>
        </w:numPr>
        <w:wordWrap/>
        <w:adjustRightInd/>
        <w:snapToGrid/>
        <w:spacing w:line="560" w:lineRule="exact"/>
        <w:textAlignment w:val="auto"/>
        <w:rPr>
          <w:rFonts w:hint="eastAsia" w:ascii="仿宋_GB2312" w:hAnsi="仿宋_GB2312" w:eastAsia="仿宋_GB2312" w:cs="仿宋_GB2312"/>
          <w:b w:val="0"/>
          <w:bCs w:val="0"/>
          <w:i w:val="0"/>
          <w:caps w:val="0"/>
          <w:color w:val="auto"/>
          <w:spacing w:val="0"/>
          <w:sz w:val="32"/>
          <w:szCs w:val="32"/>
        </w:rPr>
      </w:pPr>
      <w:r>
        <w:rPr>
          <w:rFonts w:hint="eastAsia" w:ascii="楷体_GB2312" w:hAnsi="楷体_GB2312" w:eastAsia="楷体_GB2312" w:cs="楷体_GB2312"/>
          <w:color w:val="121212"/>
          <w:sz w:val="32"/>
          <w:szCs w:val="32"/>
          <w:lang w:val="en-US" w:eastAsia="zh-CN"/>
        </w:rPr>
        <w:t xml:space="preserve">   （二）改进情况：</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阿城</w:t>
      </w:r>
      <w:r>
        <w:rPr>
          <w:rFonts w:hint="eastAsia" w:ascii="仿宋_GB2312" w:hAnsi="仿宋_GB2312" w:eastAsia="仿宋_GB2312" w:cs="仿宋_GB2312"/>
          <w:b w:val="0"/>
          <w:bCs w:val="0"/>
          <w:i w:val="0"/>
          <w:caps w:val="0"/>
          <w:color w:val="auto"/>
          <w:spacing w:val="0"/>
          <w:sz w:val="32"/>
          <w:szCs w:val="32"/>
          <w:shd w:val="clear" w:color="auto" w:fill="FFFFFF"/>
        </w:rPr>
        <w:t>区审计局将认真学习《政府信息公开条例》等文件精神，按照政府信息公开相关工作要求，</w:t>
      </w:r>
      <w:r>
        <w:rPr>
          <w:rFonts w:hint="eastAsia" w:ascii="仿宋_GB2312" w:hAnsi="仿宋_GB2312" w:eastAsia="仿宋_GB2312" w:cs="仿宋_GB2312"/>
          <w:b w:val="0"/>
          <w:i w:val="0"/>
          <w:caps w:val="0"/>
          <w:color w:val="auto"/>
          <w:spacing w:val="0"/>
          <w:sz w:val="32"/>
          <w:szCs w:val="32"/>
          <w:u w:val="none"/>
        </w:rPr>
        <w:t>坚持以及时公开、</w:t>
      </w:r>
      <w:r>
        <w:rPr>
          <w:rFonts w:hint="eastAsia" w:ascii="仿宋_GB2312" w:hAnsi="仿宋_GB2312" w:eastAsia="仿宋_GB2312" w:cs="仿宋_GB2312"/>
          <w:b w:val="0"/>
          <w:i w:val="0"/>
          <w:caps w:val="0"/>
          <w:color w:val="auto"/>
          <w:spacing w:val="0"/>
          <w:sz w:val="32"/>
          <w:szCs w:val="32"/>
          <w:u w:val="none"/>
          <w:lang w:eastAsia="zh-CN"/>
        </w:rPr>
        <w:t>及时</w:t>
      </w:r>
      <w:r>
        <w:rPr>
          <w:rFonts w:hint="eastAsia" w:ascii="仿宋_GB2312" w:hAnsi="仿宋_GB2312" w:eastAsia="仿宋_GB2312" w:cs="仿宋_GB2312"/>
          <w:b w:val="0"/>
          <w:i w:val="0"/>
          <w:caps w:val="0"/>
          <w:color w:val="auto"/>
          <w:spacing w:val="0"/>
          <w:sz w:val="32"/>
          <w:szCs w:val="32"/>
          <w:u w:val="none"/>
        </w:rPr>
        <w:t>更新为原则，</w:t>
      </w:r>
      <w:r>
        <w:rPr>
          <w:rFonts w:hint="eastAsia" w:ascii="仿宋_GB2312" w:hAnsi="仿宋_GB2312" w:eastAsia="仿宋_GB2312" w:cs="仿宋_GB2312"/>
          <w:b w:val="0"/>
          <w:bCs w:val="0"/>
          <w:i w:val="0"/>
          <w:caps w:val="0"/>
          <w:color w:val="auto"/>
          <w:spacing w:val="0"/>
          <w:sz w:val="32"/>
          <w:szCs w:val="32"/>
          <w:shd w:val="clear" w:color="auto" w:fill="FFFFFF"/>
        </w:rPr>
        <w:t>深化公开内容，</w:t>
      </w:r>
      <w:r>
        <w:rPr>
          <w:rFonts w:hint="eastAsia" w:ascii="仿宋_GB2312" w:hAnsi="仿宋_GB2312" w:eastAsia="仿宋_GB2312" w:cs="仿宋_GB2312"/>
          <w:b w:val="0"/>
          <w:i w:val="0"/>
          <w:caps w:val="0"/>
          <w:color w:val="auto"/>
          <w:spacing w:val="0"/>
          <w:sz w:val="32"/>
          <w:szCs w:val="32"/>
          <w:u w:val="none"/>
          <w:lang w:eastAsia="zh-CN"/>
        </w:rPr>
        <w:t>增强公开的实用性、时效性</w:t>
      </w:r>
      <w:r>
        <w:rPr>
          <w:rFonts w:hint="eastAsia" w:ascii="仿宋_GB2312" w:hAnsi="仿宋_GB2312" w:cs="仿宋_GB2312"/>
          <w:b w:val="0"/>
          <w:i w:val="0"/>
          <w:caps w:val="0"/>
          <w:color w:val="auto"/>
          <w:spacing w:val="0"/>
          <w:sz w:val="32"/>
          <w:szCs w:val="32"/>
          <w:u w:val="none"/>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切实增强政府信息公开实效，不断提高行政透明度，提升政府公信力。 </w:t>
      </w:r>
    </w:p>
    <w:p>
      <w:pPr>
        <w:widowControl w:val="0"/>
        <w:numPr>
          <w:ilvl w:val="0"/>
          <w:numId w:val="0"/>
        </w:numPr>
        <w:wordWrap/>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六、其他需要报告的事项</w:t>
      </w:r>
    </w:p>
    <w:p>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本年度无信息处理费情况。</w:t>
      </w:r>
      <w:r>
        <w:rPr>
          <w:rFonts w:hint="eastAsia" w:ascii="黑体" w:hAnsi="黑体" w:eastAsia="黑体" w:cs="黑体"/>
          <w:sz w:val="32"/>
          <w:szCs w:val="32"/>
          <w:lang w:val="en-US" w:eastAsia="zh-CN"/>
        </w:rPr>
        <w:t xml:space="preserve"> </w:t>
      </w:r>
    </w:p>
    <w:sectPr>
      <w:footerReference r:id="rId3" w:type="default"/>
      <w:footerReference r:id="rId4" w:type="even"/>
      <w:pgSz w:w="11906" w:h="16838"/>
      <w:pgMar w:top="2098" w:right="1474" w:bottom="1984" w:left="1588" w:header="851" w:footer="1644" w:gutter="0"/>
      <w:pgBorders>
        <w:top w:val="none" w:sz="0" w:space="0"/>
        <w:left w:val="none" w:sz="0" w:space="0"/>
        <w:bottom w:val="none" w:sz="0" w:space="0"/>
        <w:right w:val="none" w:sz="0" w:space="0"/>
      </w:pgBorders>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ascii="Times New Roman" w:hAnsi="Times New Roman" w:eastAsia="仿宋_GB2312" w:cs="Times New Roman"/>
        <w:kern w:val="2"/>
        <w:sz w:val="18"/>
        <w:szCs w:val="18"/>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ascii="Times New Roman" w:hAnsi="Times New Roman" w:eastAsia="仿宋_GB2312" w:cs="Times New Roman"/>
        <w:kern w:val="2"/>
        <w:sz w:val="18"/>
        <w:szCs w:val="18"/>
        <w:lang w:val="en-US" w:eastAsia="zh-CN" w:bidi="ar-SA"/>
      </w:rPr>
      <w:pict>
        <v:rect id="文本框 2" o:spid="_x0000_s4098"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3E3F3"/>
    <w:multiLevelType w:val="singleLevel"/>
    <w:tmpl w:val="63B3E3F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EzMmRmZmI4NDkyMzFmYzE5ZGQ2MzBmYTRlMjhlNzMifQ=="/>
  </w:docVars>
  <w:rsids>
    <w:rsidRoot w:val="48984D55"/>
    <w:rsid w:val="022F2531"/>
    <w:rsid w:val="13C131E0"/>
    <w:rsid w:val="340D72A2"/>
    <w:rsid w:val="3930702A"/>
    <w:rsid w:val="43DC4A7E"/>
    <w:rsid w:val="43FE4C44"/>
    <w:rsid w:val="48984D55"/>
    <w:rsid w:val="79FE77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SA"/>
    </w:rPr>
  </w:style>
  <w:style w:type="paragraph" w:customStyle="1" w:styleId="6">
    <w:name w:val="Char"/>
    <w:basedOn w:val="1"/>
    <w:qFormat/>
    <w:uiPriority w:val="0"/>
    <w:pPr>
      <w:tabs>
        <w:tab w:val="left" w:pos="360"/>
      </w:tabs>
    </w:pPr>
    <w:rPr>
      <w:sz w:val="24"/>
    </w:rPr>
  </w:style>
  <w:style w:type="character" w:customStyle="1" w:styleId="7">
    <w:name w:val="font2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ascii="Calibri" w:hAnsi="Calibri" w:cs="Calibri"/>
      <w:color w:val="000000"/>
      <w:sz w:val="20"/>
      <w:szCs w:val="20"/>
      <w:u w:val="none"/>
    </w:rPr>
  </w:style>
  <w:style w:type="character" w:customStyle="1" w:styleId="9">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2233</Words>
  <Characters>2328</Characters>
  <Lines>0</Lines>
  <Paragraphs>0</Paragraphs>
  <TotalTime>1</TotalTime>
  <ScaleCrop>false</ScaleCrop>
  <LinksUpToDate>false</LinksUpToDate>
  <CharactersWithSpaces>2376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2022-12-29T02:04:00Z</dcterms:created>
  <dc:creator>大承将军</dc:creator>
  <cp:lastModifiedBy>微工匠</cp:lastModifiedBy>
  <dcterms:modified xsi:type="dcterms:W3CDTF">2023-02-23T06:10:20Z</dcterms:modified>
  <dc:title>哈尔滨市阿城区审计局2022年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862ED5586A6449BBAFDD4BB81B7A28F4</vt:lpwstr>
  </property>
</Properties>
</file>