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阿城区交通运输综合行政执法大队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交通运输综合行政执法大队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交通运输综合行政执法大队，地址：阿城区牌路街629号；邮编：150300；联系电话：53733944。</w:t>
      </w:r>
    </w:p>
    <w:p>
      <w:pPr>
        <w:numPr>
          <w:ilvl w:val="0"/>
          <w:numId w:val="1"/>
        </w:numPr>
        <w:spacing w:line="600" w:lineRule="exact"/>
        <w:ind w:left="631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总体情况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主动发布交通动态信息。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利用网站、政务新媒体，及时发布交通基础设施建设进展、公交线路变更、疫情防控、交通政策法规等市民关注的交通新闻信息。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年我局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通过客运站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微信公众号、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官方网站发布政务公告、工作动态等信息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，取得较好的宣传效果。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及时公开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燃油补贴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信息。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及时在网站上公开了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交通运输局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按上级部门要求所申报的2021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燃油补贴申报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情况以及有关绩效信息。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right="0" w:firstLine="632" w:firstLineChars="200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）加强政务服务信息公开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648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一是完善网络平台建设。依托全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统一的“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哈尔滨市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政务服务网”，优化网上办事大厅的办事流程，着重推进本单位行政审批事项及执法信息公开，及时更新和完善服务事项目录，将审批事项的办事内容、办理依据、审批条件、申请材料、办理时限等要素对外公开，方便群众了解交通政务的内容、范围以及办理流程等，可随时下载相关表格并提交预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634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二是动态调整及公布权责清单。权责清单是我局实施行政审批、执法和服务的基准信息，我局根据有关法律法规和政策文件，动态调整及公布我局的权责事项，包括行政许可、行政处罚、行政强制、行政征收、行政确认、行政检查、行政裁决、其他行政权力等类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648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加大执法宣传力度。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648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一是主动公开规范性文件及政策解读。二是加大执法信息公告力度。三是加强执法宣传教育。积极开展交通执法宣传活动，向群众讲解和宣传交通运输法律法规，接受群众咨询和建议，鼓励群众举报各类交通违法行为，提高群众对交通执法的认知度和支持度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许可工作开展情况</w:t>
      </w:r>
    </w:p>
    <w:p>
      <w:pPr>
        <w:ind w:firstLine="63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落实行政许可公开。对我局行政许可事项的许可条件、办理期限、受理部门、联系人、联系电话等，在便民服务中心窗口设有咨询、公示栏，便于前来办事的群众了解、咨询及办理;二是理顺行政许可办理流程。对行政许可受理、审查、决定、送达等相关程序和时间做出了具体规定，明确了行政许可受理窗口、办理窗口、分管领导和办理期限，提高办事效率;三是规范行政许可文书。为保证行政许可办理质量，制定了规范的行政许可格式文书，确保行政许可的规范运作。四是落实便民服务措施。以提高服务效能，便民、高效、优质办理为原则，所有行政许可都有相应股室负责办理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强化了行政执法责任制。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行政执法责任配套制度建设，进一步完善执法责任制、执法公示承诺制、执法违法责任追究制和执法考核评议制。科学划分不同执法环节应当承担的责任，将行政执法责任落实到每个科室、每个岗位。实行行政问责制，有效地防止了公共权力的滥用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二、主动公开政府信息情况</w:t>
      </w:r>
    </w:p>
    <w:tbl>
      <w:tblPr>
        <w:tblStyle w:val="5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本年</w:t>
            </w:r>
            <w:r>
              <w:rPr>
                <w:rStyle w:val="10"/>
                <w:rFonts w:eastAsia="宋体"/>
              </w:rPr>
              <w:t>制</w:t>
            </w:r>
            <w:r>
              <w:rPr>
                <w:rStyle w:val="8"/>
                <w:rFonts w:hint="default"/>
              </w:rPr>
              <w:t>发件</w:t>
            </w:r>
            <w:r>
              <w:rPr>
                <w:rStyle w:val="10"/>
                <w:rFonts w:eastAsia="宋体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现行有效件</w:t>
            </w:r>
            <w:r>
              <w:rPr>
                <w:rStyle w:val="10"/>
                <w:rFonts w:eastAsia="宋体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3100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三、收到和处理政府信息公开申请情况</w:t>
      </w:r>
    </w:p>
    <w:tbl>
      <w:tblPr>
        <w:tblStyle w:val="5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四、政府信息公开行政复议、行政诉讼情况</w:t>
      </w:r>
    </w:p>
    <w:tbl>
      <w:tblPr>
        <w:tblStyle w:val="5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五、存在的主要问题及改进情况</w:t>
      </w:r>
    </w:p>
    <w:p>
      <w:pPr>
        <w:widowControl/>
        <w:jc w:val="left"/>
        <w:rPr>
          <w:rFonts w:ascii="仿宋_GB2312" w:hAnsi="仿宋_GB2312" w:cs="仿宋_GB2312"/>
          <w:color w:val="121212"/>
        </w:rPr>
      </w:pPr>
      <w:r>
        <w:rPr>
          <w:rFonts w:hint="eastAsia" w:ascii="仿宋_GB2312" w:hAnsi="仿宋_GB2312" w:cs="仿宋_GB2312"/>
          <w:color w:val="FF0000"/>
        </w:rPr>
        <w:t xml:space="preserve"> </w:t>
      </w:r>
      <w:r>
        <w:rPr>
          <w:rFonts w:hint="eastAsia" w:ascii="仿宋_GB2312" w:hAnsi="仿宋_GB2312" w:cs="仿宋_GB2312"/>
          <w:color w:val="121212"/>
        </w:rPr>
        <w:t xml:space="preserve">  （一）主要问题：由于机构改革审批业务尚未移交到位，工作人员的身份与审批要求的身份不符。</w:t>
      </w:r>
    </w:p>
    <w:p>
      <w:pPr>
        <w:widowControl/>
        <w:jc w:val="left"/>
        <w:rPr>
          <w:rFonts w:ascii="仿宋_GB2312" w:hAnsi="仿宋_GB2312" w:cs="仿宋_GB2312"/>
          <w:color w:val="FF0000"/>
        </w:rPr>
      </w:pPr>
      <w:r>
        <w:rPr>
          <w:rFonts w:hint="eastAsia" w:ascii="仿宋_GB2312" w:hAnsi="宋体" w:cs="仿宋_GB2312"/>
          <w:color w:val="000000"/>
          <w:kern w:val="0"/>
        </w:rPr>
        <w:t xml:space="preserve">  </w:t>
      </w:r>
      <w:r>
        <w:rPr>
          <w:rFonts w:hint="eastAsia" w:ascii="仿宋_GB2312" w:hAnsi="仿宋_GB2312" w:cs="仿宋_GB2312"/>
          <w:color w:val="121212"/>
        </w:rPr>
        <w:t xml:space="preserve"> （二）改进情况：现正积极沟通协调区政府各职能部门，早日完成业务工作的全方位移交。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ascii="仿宋_GB2312" w:hAnsi="仿宋" w:cs="黑体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本年度无信息处理费情况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17B84"/>
    <w:multiLevelType w:val="singleLevel"/>
    <w:tmpl w:val="3D717B84"/>
    <w:lvl w:ilvl="0" w:tentative="0">
      <w:start w:val="1"/>
      <w:numFmt w:val="chineseCounting"/>
      <w:suff w:val="nothing"/>
      <w:lvlText w:val="%1、"/>
      <w:lvlJc w:val="left"/>
      <w:pPr>
        <w:ind w:left="631" w:leftChars="0" w:firstLine="0" w:firstLineChars="0"/>
      </w:pPr>
      <w:rPr>
        <w:rFonts w:hint="eastAsia"/>
      </w:rPr>
    </w:lvl>
  </w:abstractNum>
  <w:abstractNum w:abstractNumId="1">
    <w:nsid w:val="7CFEED91"/>
    <w:multiLevelType w:val="singleLevel"/>
    <w:tmpl w:val="7CFEED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001B6D55"/>
    <w:rsid w:val="00693D1C"/>
    <w:rsid w:val="00A41EE1"/>
    <w:rsid w:val="00D634C7"/>
    <w:rsid w:val="02500392"/>
    <w:rsid w:val="0C491CEB"/>
    <w:rsid w:val="252F2062"/>
    <w:rsid w:val="3A3C0EF2"/>
    <w:rsid w:val="48984D55"/>
    <w:rsid w:val="74A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0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2419</Words>
  <Characters>2506</Characters>
  <Lines>17</Lines>
  <Paragraphs>5</Paragraphs>
  <TotalTime>1</TotalTime>
  <ScaleCrop>false</ScaleCrop>
  <LinksUpToDate>false</LinksUpToDate>
  <CharactersWithSpaces>2546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cp:lastPrinted>2023-01-29T00:39:00Z</cp:lastPrinted>
  <dcterms:modified xsi:type="dcterms:W3CDTF">2023-02-02T02:47:48Z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02431A6A46AE47D78B82F335C503CD50</vt:lpwstr>
  </property>
</Properties>
</file>