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阿城区卫生健康局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年1月1日至202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年12月31日截止。本报告全面客观的反映了阿城区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卫生健康局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政府信息公开工作取得的成效和存在的问题。本报告通过阿城区人民政府网站（http://www.acheng.gov.cn/）向社会公开，欢迎社会各界进行监督、提出意见，欢迎广大机关企事业单位和人民群众参阅使用。如对本报告有疑问、意见和建议，请联系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卫生健康局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，地址：阿城区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牌路大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街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370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号；邮编：150300；联系电话：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53722975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/>
        <w:ind w:left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2022年，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阿城区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卫生健康局坚持以习近平新时代中国特色社会主义思想为指导，全面学习贯彻党的二十大精神，认真落实《条例》，紧紧围绕卫生健康中心工作和疫情防控工作，持续加强各类政务信息公开，依法及时办理政府信息公开申请，推进医疗卫生单位信息公开，强化重要政策文件发布解读，积极回应公众关切，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卫生健康领域政府信息公开工作有序推进。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/>
        <w:ind w:left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（一）主动公开情况。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局发挥政府网站部门频道和政府信息公开目录的平台作用，充分运用“阿城发布”（微信）、“金都视野”（微信）和“健康阿城”（美篇）等政务新媒体平台，提高信息公开针对性，增强公开实效。2022年，通过“阿城发布”（微信）主动公开信息151条，其中政府信息公开指南113条、部门文件2条、行政执法2条、工作动态34条。充分运用政务新媒体平台，共发布微信74条、美篇20条。</w:t>
      </w:r>
      <w:r>
        <w:rPr>
          <w:rFonts w:hint="eastAsia" w:ascii="仿宋_GB2312" w:hAnsi="-webkit-standard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自2022年1月1日至2022年12月31日共办理卫生许可616件，行政处罚8件，行政强制1件，行政复议0件，行政诉讼0件。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/>
        <w:ind w:left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（二）依申请公开情况。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年卫健局未接到群众主动要求公开政府信息的申请。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/>
        <w:ind w:left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（三）政府信息管理。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托区政府门户网站平台，实行依申请公开标准登记表单制度，从依申请公开的登记入手，规范依申请公开的政府信息种类，完善申请人的个人信息。从接收到依申请信息到办结过程必须保证专人负责、专人跟踪、全流程登记，使申请人的各类申请都能够依法受理、按期办结，有效提高了政府工作的透明度，保证了广大群众的知情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/>
        <w:ind w:left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（四）平台建设。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根据《中华人民共和国政府信息公开条例》要求，并结合工作实际，我局对信息公开范围、程序、时限等进行了明确规定，规范政府信息公开制度。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/>
        <w:ind w:left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（五）监督保障。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加强对信息公开工作的统一领导，我局成立了由局领导担任组长的政府信息公开领导小组，建立了“局办公室组织协调，各科室承担职责范围内公开事项”的工作机制，形成分工明确、责任落实的工作格局。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4"/>
        <w:tblW w:w="96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1"/>
        <w:gridCol w:w="2378"/>
        <w:gridCol w:w="2560"/>
        <w:gridCol w:w="237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-SA"/>
              </w:rPr>
              <w:t>本年</w:t>
            </w:r>
            <w:r>
              <w:rPr>
                <w:rStyle w:val="9"/>
                <w:rFonts w:eastAsia="宋体"/>
                <w:lang w:val="en-US" w:eastAsia="zh-CN" w:bidi="ar-SA"/>
              </w:rPr>
              <w:t>制</w:t>
            </w:r>
            <w:r>
              <w:rPr>
                <w:rStyle w:val="7"/>
                <w:lang w:val="en-US" w:eastAsia="zh-CN" w:bidi="ar-SA"/>
              </w:rPr>
              <w:t>发件</w:t>
            </w:r>
            <w:r>
              <w:rPr>
                <w:rStyle w:val="9"/>
                <w:rFonts w:eastAsia="宋体"/>
                <w:lang w:val="en-US" w:eastAsia="zh-CN" w:bidi="ar-SA"/>
              </w:rPr>
              <w:t>数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本年废止件数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-SA"/>
              </w:rPr>
              <w:t>现行有效件</w:t>
            </w:r>
            <w:r>
              <w:rPr>
                <w:rStyle w:val="9"/>
                <w:rFonts w:eastAsia="宋体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行政规范性文件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4"/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8"/>
        <w:gridCol w:w="1067"/>
        <w:gridCol w:w="2480"/>
        <w:gridCol w:w="827"/>
        <w:gridCol w:w="785"/>
        <w:gridCol w:w="679"/>
        <w:gridCol w:w="810"/>
        <w:gridCol w:w="801"/>
        <w:gridCol w:w="785"/>
        <w:gridCol w:w="7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2931" w:type="dxa"/>
            <w:gridSpan w:val="5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582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</w:t>
            </w:r>
          </w:p>
        </w:tc>
        <w:tc>
          <w:tcPr>
            <w:tcW w:w="51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</w:t>
            </w:r>
          </w:p>
        </w:tc>
        <w:tc>
          <w:tcPr>
            <w:tcW w:w="615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组织</w:t>
            </w:r>
          </w:p>
        </w:tc>
        <w:tc>
          <w:tcPr>
            <w:tcW w:w="6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596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61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三、本年度办理结果</w:t>
            </w: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（三）不予公开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（四）无法提供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（五）不予处理</w:t>
            </w:r>
          </w:p>
        </w:tc>
        <w:tc>
          <w:tcPr>
            <w:tcW w:w="188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62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（六）其他处理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3.其他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4"/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2"/>
        <w:gridCol w:w="662"/>
        <w:gridCol w:w="665"/>
        <w:gridCol w:w="667"/>
        <w:gridCol w:w="591"/>
        <w:gridCol w:w="665"/>
        <w:gridCol w:w="664"/>
        <w:gridCol w:w="668"/>
        <w:gridCol w:w="663"/>
        <w:gridCol w:w="665"/>
        <w:gridCol w:w="667"/>
        <w:gridCol w:w="663"/>
        <w:gridCol w:w="631"/>
        <w:gridCol w:w="508"/>
        <w:gridCol w:w="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121212"/>
          <w:sz w:val="32"/>
          <w:szCs w:val="32"/>
          <w:lang w:val="en-US" w:eastAsia="zh-CN"/>
        </w:rPr>
        <w:t>（一）主要问题：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2022年，</w:t>
      </w:r>
      <w:r>
        <w:rPr>
          <w:rFonts w:hint="eastAsia" w:ascii="仿宋_GB2312" w:hAnsi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阿城区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卫生健康局政府信息公开工作总体运行情况良好，但对照政府信息公开的有关要求，仍然存在不足，如政策解读形式不够多样化，工作质量仍需进一步提升；医疗卫生机构信息公开工作有待完善等。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（二）改进情况：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2023年，</w:t>
      </w:r>
      <w:r>
        <w:rPr>
          <w:rFonts w:hint="eastAsia" w:ascii="仿宋_GB2312" w:hAnsi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阿城区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卫生健康局将深入学习宣传贯彻党的二十大精神，认真贯彻落实国务院和省、市</w:t>
      </w:r>
      <w:r>
        <w:rPr>
          <w:rFonts w:hint="eastAsia" w:ascii="仿宋_GB2312" w:hAnsi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政府部署要求，全面推进卫生健康领域政府信息公开工作。</w:t>
      </w:r>
      <w:r>
        <w:rPr>
          <w:rStyle w:val="6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进一步规范完善</w:t>
      </w:r>
      <w:r>
        <w:rPr>
          <w:rFonts w:hint="eastAsia" w:ascii="仿宋_GB2312" w:hAnsi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阿城区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卫生健康局政府信息公开平台各栏目的功能与分类，加强主动公开政府信息的管理和维护，确保信息发布及时、规范。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加强重要政策发布和信息管理，及时做好重大政策、权威信息的发布工作，创新政策解读的方式和途径，进一步提升政策解读质量和实效。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严格按照国家和省、市</w:t>
      </w:r>
      <w:r>
        <w:rPr>
          <w:rFonts w:hint="eastAsia" w:ascii="仿宋_GB2312" w:hAnsi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部署，以及国家卫健委印发的《医疗卫生机构信息公开基本目录》等要求，指导医疗卫生机构做好信息公开工作，不断提升全市卫生健康系统信息公开和信息服务水平。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本年度无信息处理费用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>
      <w:pPr>
        <w:widowControl/>
        <w:autoSpaceDE w:val="0"/>
        <w:ind w:right="1282" w:rightChars="406" w:firstLine="631"/>
        <w:jc w:val="both"/>
        <w:rPr>
          <w:rFonts w:hint="eastAsia" w:ascii="仿宋_GB2312" w:hAnsi="仿宋" w:cs="黑体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-webkit-standard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-2-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-2-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NWFhYmRmYzQyNmI3NmEyODFlMDZmNmFlYjI0NTcifQ=="/>
  </w:docVars>
  <w:rsids>
    <w:rsidRoot w:val="48984D55"/>
    <w:rsid w:val="161F43DC"/>
    <w:rsid w:val="1E234C86"/>
    <w:rsid w:val="27A34D5A"/>
    <w:rsid w:val="3318478F"/>
    <w:rsid w:val="41316FF0"/>
    <w:rsid w:val="46500044"/>
    <w:rsid w:val="48984D55"/>
    <w:rsid w:val="58873E41"/>
    <w:rsid w:val="5B932803"/>
    <w:rsid w:val="6FC3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8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9">
    <w:name w:val="font01"/>
    <w:basedOn w:val="5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2507</Words>
  <Characters>2616</Characters>
  <Lines>0</Lines>
  <Paragraphs>0</Paragraphs>
  <TotalTime>2</TotalTime>
  <ScaleCrop>false</ScaleCrop>
  <LinksUpToDate>false</LinksUpToDate>
  <CharactersWithSpaces>2616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2022-12-29T02:04:00Z</dcterms:created>
  <dc:creator>大承将军</dc:creator>
  <cp:lastModifiedBy>微工匠</cp:lastModifiedBy>
  <dcterms:modified xsi:type="dcterms:W3CDTF">2023-02-03T08:26:46Z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CAC5BCC122C7433D9DB542A44251C720</vt:lpwstr>
  </property>
</Properties>
</file>