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阿城区乡村振兴局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上京大道66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号；邮编：150300；联系电话：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0451-53767031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pStyle w:val="3"/>
        <w:widowControl/>
        <w:spacing w:beforeAutospacing="0" w:afterAutospacing="0"/>
        <w:ind w:firstLine="632" w:firstLineChars="200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202</w:t>
      </w:r>
      <w:r>
        <w:rPr>
          <w:rFonts w:hint="eastAsia" w:ascii="仿宋_GB2312" w:hAnsi="仿宋_GB2312" w:cs="仿宋_GB2312"/>
          <w:color w:val="3D3D3D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3D3D3D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，我局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以习近平新时代中国特色社会主义思想为指导，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贯彻落实《条例》及年度政务公开重点工作部署，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按照要求，我局主动公开了机关职能、机构设置等政府信息，</w:t>
      </w:r>
      <w:r>
        <w:rPr>
          <w:rFonts w:hint="eastAsia" w:ascii="仿宋_GB2312" w:hAnsi="仿宋_GB2312" w:cs="仿宋_GB2312"/>
          <w:color w:val="3D3D3D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年主动公开了防返贫监测户名单3条；雨露计划、交通补助、生产奖补等补贴类8条；衔接资金及项目实施</w:t>
      </w:r>
      <w:r>
        <w:rPr>
          <w:rFonts w:hint="eastAsia" w:ascii="仿宋_GB2312" w:hAnsi="仿宋_GB2312" w:cs="仿宋_GB2312"/>
          <w:color w:val="3D3D3D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条；项目库</w:t>
      </w:r>
      <w:r>
        <w:rPr>
          <w:rFonts w:hint="eastAsia" w:ascii="仿宋_GB2312" w:hAnsi="仿宋_GB2312" w:cs="仿宋_GB2312"/>
          <w:color w:val="3D3D3D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条。我局无规章规范性文件、行政许可、行政处罚等其他《条例》第二十条第十一项以外规定的应当主动公开的政府信息。</w:t>
      </w:r>
    </w:p>
    <w:p>
      <w:pPr>
        <w:pStyle w:val="3"/>
        <w:widowControl/>
        <w:spacing w:beforeAutospacing="0" w:afterAutospacing="0"/>
        <w:ind w:firstLine="632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202</w:t>
      </w:r>
      <w:r>
        <w:rPr>
          <w:rFonts w:hint="eastAsia" w:ascii="仿宋_GB2312" w:hAnsi="仿宋_GB2312" w:cs="仿宋_GB2312"/>
          <w:color w:val="3D3D3D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3D3D3D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我局收到政府信息公开申请0件，上年结转政府信息公开申请0件。2021年度我局无因政府信息公开工作被申请行政复议、提起行政诉讼的情况。</w:t>
      </w:r>
    </w:p>
    <w:p>
      <w:pPr>
        <w:pStyle w:val="3"/>
        <w:widowControl/>
        <w:spacing w:beforeAutospacing="0" w:afterAutospacing="0"/>
        <w:ind w:firstLine="632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我局始终坚持以“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公开为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常态、不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公开为例外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”原则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推进行政决策公开、执行公开、管理公开、服务公开和结果公开。成立组织，加强领导。成立了乡村振兴局政府信息公开工作领导小组，由局长任组长，副局长任副组长，各科室负责人为成员，指定分管副局长具体抓，明确落实工作人员，负责组织、协调和推动全局政府信息公开工作的开展；规范工作，健全平台。我局按照主动公开、依申请公开、不予公开的政府信息要求，建立健全信息公开平台，并及时报送和更新信息公开平台，确保了政府信息公开的全面、及时和准确；拓宽渠道，保障监督。完善体制机制，突出重点，狠抓落实，政府信息公开形式不断多样，公开范围不断拓宽，公开内容不断丰富，最大限度地把政策、政务动态等及时对外公布，政府法制工作的透明度切实提高，保障了人民群众的知情权、参与权和监督权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较好的完成了202</w:t>
      </w:r>
      <w:r>
        <w:rPr>
          <w:rFonts w:hint="eastAsia" w:ascii="仿宋_GB2312" w:hAnsi="仿宋_GB2312" w:cs="仿宋_GB2312"/>
          <w:color w:val="3D3D3D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3D3D3D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4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1"/>
        <w:gridCol w:w="2378"/>
        <w:gridCol w:w="2560"/>
        <w:gridCol w:w="2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6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1067"/>
        <w:gridCol w:w="2480"/>
        <w:gridCol w:w="827"/>
        <w:gridCol w:w="785"/>
        <w:gridCol w:w="679"/>
        <w:gridCol w:w="810"/>
        <w:gridCol w:w="801"/>
        <w:gridCol w:w="785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6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4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662"/>
        <w:gridCol w:w="665"/>
        <w:gridCol w:w="667"/>
        <w:gridCol w:w="591"/>
        <w:gridCol w:w="665"/>
        <w:gridCol w:w="664"/>
        <w:gridCol w:w="668"/>
        <w:gridCol w:w="663"/>
        <w:gridCol w:w="665"/>
        <w:gridCol w:w="667"/>
        <w:gridCol w:w="663"/>
        <w:gridCol w:w="631"/>
        <w:gridCol w:w="508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widowControl/>
        <w:jc w:val="left"/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（一）主要问题：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一是具体工作人员业务不太熟练；二是对信息公开工作社会宣传力度不够。</w:t>
      </w:r>
    </w:p>
    <w:p>
      <w:pPr>
        <w:widowControl/>
        <w:jc w:val="left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（二）改进情况：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一是进一步提高认识，加强培训，加深干部职工对信息公开工作的认识，提高政府信息公开工作水平；二是扩大政府信息公开内容，保证公开信息的完整性和准确性，不断创新公开形式，探索新途径，提高政务公开工作的质量和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本年度无信息处理费情况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WFhYmRmYzQyNmI3NmEyODFlMDZmNmFlYjI0NTcifQ=="/>
  </w:docVars>
  <w:rsids>
    <w:rsidRoot w:val="214C14F4"/>
    <w:rsid w:val="214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2023-02-01T08:22:00Z</dcterms:created>
  <dc:creator>微工匠</dc:creator>
  <cp:lastModifiedBy>微工匠</cp:lastModifiedBy>
  <dcterms:modified xsi:type="dcterms:W3CDTF">2023-02-01T08:23:33Z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6741CE3AC0E34429B13164E63EFAA08F</vt:lpwstr>
  </property>
</Properties>
</file>