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退役军人事务局单位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民权大街94-1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53799033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，我局通过网站、微信等平台发布各类信息，同时还重点做了以下几项工作：一是主动公开重要民生实事项目，今年我局将烈士陵园建设作为年度重要民生实事，及时公开陵园建设进度，保障公众知情权；二是主动与社会媒体合作，提高公开效果；三是完善办事指南，对我局相关事项的受理条件、办事流程、申报材料等进行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按要求做好依申请信息公开的办理。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《条例》的相关规定，我局坚持以公开为常态、不公开为例外，遵循公正、公平、合法、便民的原则，常态化做好政府信息的管理工作。根据工作实际，对局《信息公开指南》进行了修订，进一步优化了公开流程，充分保障公开的知情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我局不断完善政府信息公开平台建设，主要体现以下四个方面：一是优化网站功能。根据《2022年哈尔滨市政府网站工作要点》的任务清单，完成了网站适老化改造，优化网站栏目，提升了网站功能；二是强化新媒体管理优化发布流程。后，业主只需在手机操作即可完成不动产登记。全程零资料、零跑次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门户网站开展进行经常性技术检测，确保链接正常、更新及时、运行稳定；四是建立会商机制。在信息公开过程中，适时组织相关单位召开疑难问题研讨会，提高服务质量。2022年我局未有因信息公开不到位需要进行责任追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/>
        <w:ind w:left="0" w:leftChars="0" w:firstLine="612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楷体_GB2312" w:hAnsi="仿宋" w:eastAsia="楷体_GB2312" w:cs="楷体_GB2312"/>
          <w:sz w:val="31"/>
          <w:szCs w:val="31"/>
        </w:rPr>
        <w:t>（一）工作中存在的问题。</w:t>
      </w:r>
      <w:r>
        <w:rPr>
          <w:rFonts w:ascii="仿宋_GB2312" w:hAnsi="仿宋" w:eastAsia="仿宋_GB2312" w:cs="仿宋_GB2312"/>
          <w:sz w:val="31"/>
          <w:szCs w:val="31"/>
        </w:rPr>
        <w:t>一是队伍建设有待加强，专业素质还需进一步提高。二是对信息公开工作认识不足，政府信息公开的尺度难以把握等问题。三是政务公开长效机制有待进一步完善，现有制度执行力度还有待加强。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/>
        <w:ind w:left="0" w:leftChars="0" w:firstLine="612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楷体_GB2312" w:hAnsi="仿宋" w:eastAsia="楷体_GB2312" w:cs="楷体_GB2312"/>
          <w:sz w:val="31"/>
          <w:szCs w:val="31"/>
        </w:rPr>
        <w:t>（二）改进措施</w:t>
      </w:r>
      <w:r>
        <w:rPr>
          <w:rFonts w:ascii="仿宋_GB2312" w:hAnsi="仿宋" w:eastAsia="仿宋_GB2312" w:cs="仿宋_GB2312"/>
          <w:sz w:val="31"/>
          <w:szCs w:val="31"/>
        </w:rPr>
        <w:t>。一是配强队伍，加大培训力度，提高业务水平。组织工作人员深入学习《中华人民共和国政府信息公开条例》相关文件精神，积极参加上级组织的培训会，增强干部的信息公开主动公开意识，提高工作人员业务水平，确保信息公开工作顺利开展。二是进一步加强对政务公开工作的指导和监督，健全有关检查制度、责任追究制度、反馈制度，确保把本</w:t>
      </w:r>
      <w:r>
        <w:rPr>
          <w:rFonts w:hint="eastAsia" w:ascii="仿宋_GB2312" w:hAnsi="仿宋" w:eastAsia="仿宋_GB2312" w:cs="仿宋_GB2312"/>
          <w:sz w:val="31"/>
          <w:szCs w:val="31"/>
        </w:rPr>
        <w:t>级</w:t>
      </w:r>
      <w:r>
        <w:rPr>
          <w:rFonts w:ascii="仿宋_GB2312" w:hAnsi="仿宋" w:eastAsia="仿宋_GB2312" w:cs="仿宋_GB2312"/>
          <w:sz w:val="31"/>
          <w:szCs w:val="31"/>
        </w:rPr>
        <w:t>政府信息公开工作落到实处；三是进一步健全和完善政府信息公开制度，规范公开内容，提高公开质量。</w:t>
      </w:r>
    </w:p>
    <w:p>
      <w:pPr>
        <w:pStyle w:val="3"/>
        <w:widowControl/>
        <w:spacing w:beforeAutospacing="0" w:after="225" w:afterAutospacing="0"/>
        <w:ind w:firstLine="645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年，我局政务公开工作虽然取得了进步，但距离上级要求和人民群众的期望还有一定的距离，在202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年的工作中我们将不断地创新工作方法，简化办事程序，认真贯彻“最多跑一次”改革重要思想，紧紧围绕经济建设这个中心，认真做好政务公开工作，更快更好地推动我区经济发展和社会的全面进步。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pStyle w:val="3"/>
        <w:widowControl/>
        <w:spacing w:beforeAutospacing="0" w:after="225" w:afterAutospacing="0"/>
        <w:ind w:firstLine="645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本年度无信息处理费用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11467062"/>
    <w:rsid w:val="1CAA244B"/>
    <w:rsid w:val="20587275"/>
    <w:rsid w:val="2EDF246D"/>
    <w:rsid w:val="31887B58"/>
    <w:rsid w:val="33421B7C"/>
    <w:rsid w:val="47305B9A"/>
    <w:rsid w:val="48984D55"/>
    <w:rsid w:val="5CEB6393"/>
    <w:rsid w:val="689B7C39"/>
    <w:rsid w:val="754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2330</Words>
  <Characters>2424</Characters>
  <Lines>0</Lines>
  <Paragraphs>0</Paragraphs>
  <TotalTime>0</TotalTime>
  <ScaleCrop>false</ScaleCrop>
  <LinksUpToDate>false</LinksUpToDate>
  <CharactersWithSpaces>2434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2023-02-03T07:06:41Z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DA568D1B9794482FB0B8A2376F4D9392</vt:lpwstr>
  </property>
</Properties>
</file>