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房产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>
      <w:pPr>
        <w:spacing w:line="56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房产服务中心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房产服务中心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</w:t>
      </w:r>
      <w:r>
        <w:rPr>
          <w:rFonts w:hint="eastAsia" w:ascii="仿宋_GB2312" w:hAnsi="仿宋_GB2312" w:cs="仿宋_GB2312"/>
        </w:rPr>
        <w:t>阿城区</w:t>
      </w:r>
      <w:r>
        <w:rPr>
          <w:rFonts w:hint="eastAsia" w:ascii="仿宋_GB2312" w:hAnsi="仿宋_GB2312" w:cs="仿宋_GB2312"/>
          <w:lang w:eastAsia="zh-CN"/>
        </w:rPr>
        <w:t>上京大道</w:t>
      </w:r>
      <w:r>
        <w:rPr>
          <w:rFonts w:hint="eastAsia" w:ascii="仿宋_GB2312" w:hAnsi="仿宋_GB2312" w:cs="仿宋_GB2312"/>
          <w:lang w:val="en-US" w:eastAsia="zh-CN"/>
        </w:rPr>
        <w:t>78</w:t>
      </w:r>
      <w:r>
        <w:rPr>
          <w:rFonts w:hint="eastAsia" w:ascii="仿宋_GB2312" w:hAnsi="仿宋_GB2312" w:cs="仿宋_GB231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；邮编：150300；联系电话：</w:t>
      </w:r>
      <w:r>
        <w:rPr>
          <w:rFonts w:hint="eastAsia" w:ascii="仿宋_GB2312" w:hAnsi="仿宋_GB2312" w:cs="仿宋_GB2312"/>
          <w:lang w:val="en-US" w:eastAsia="zh-CN"/>
        </w:rPr>
        <w:t>0451-</w:t>
      </w:r>
      <w:r>
        <w:rPr>
          <w:rFonts w:hint="eastAsia" w:ascii="仿宋_GB2312" w:hAnsi="仿宋_GB2312" w:cs="仿宋_GB2312"/>
        </w:rPr>
        <w:t>53722</w:t>
      </w:r>
      <w:r>
        <w:rPr>
          <w:rFonts w:hint="eastAsia" w:ascii="仿宋_GB2312" w:hAnsi="仿宋_GB2312" w:cs="仿宋_GB2312"/>
          <w:lang w:val="en-US" w:eastAsia="zh-CN"/>
        </w:rPr>
        <w:t>735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坚持以习近平新时代中国特色社会主义思想为指导，全面学习贯彻党的二十大精神，认真落实《条例》，紧紧围绕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中心工作和疫情防控工作，持续加强各类政务信息公开，依法及时办理政府信息公开申请，推进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房产各项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信息公开，强化重要政策文件发布解读，积极回应公众关切，我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领域政府信息公开工作有序推进。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我局发挥政府网站部门频道和政府信息公开目录的平台作用，充分运用“阿城发布”（微信）、“金都视野”（微信）等政务新媒体平台，提高信息公开针对性，增强公开实效。2022年，</w:t>
      </w:r>
      <w:r>
        <w:rPr>
          <w:rFonts w:hint="eastAsia" w:ascii="仿宋_GB2312" w:hAnsi="-webkit-standard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共办理房产各项0件，行政处罚0件，行政强制0件，行政复议0件，行政诉讼0件。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房产服务中心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未接到群众主动要求公开政府信息的申请。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托区政府门户网站平台，实行依申请公开标准登记表单制度，从依申请公开的登记入手，规范依申请公开的政府信息种类，完善申请人的个人信息。从接收到依申请信息到办结过程必须保证专人负责、专人跟踪、全流程登记，使申请人的各类申请都能够依法受理、按期办结，有效提高了政府工作的透明度，保证了广大群众的知情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根据《中华人民共和国政府信息公开条例》要求，并结合工作实际，我局对信息公开范围、程序、时限等进行了明确规定，规范政府信息公开制度。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加强对信息公开工作的统一领导，我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成立了由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一把手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担任组长的政府信息公开领导小组，建立了“局办公室组织协调，各科室承担职责范围内公开事项”的工作机制，形成分工明确、责任落实的工作格局。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本年</w:t>
            </w:r>
            <w:r>
              <w:rPr>
                <w:rStyle w:val="9"/>
                <w:rFonts w:eastAsia="宋体"/>
                <w:lang w:val="en-US" w:eastAsia="zh-CN" w:bidi="ar-SA"/>
              </w:rPr>
              <w:t>制</w:t>
            </w:r>
            <w:r>
              <w:rPr>
                <w:rStyle w:val="7"/>
                <w:lang w:val="en-US" w:eastAsia="zh-CN" w:bidi="ar-SA"/>
              </w:rPr>
              <w:t>发件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现行有效件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政府信息公开工作总体运行情况良好，但对照政府信息公开的有关要求，仍然存在不足，如工作质量仍需进一步提升；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机构信息公开有待完善等。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2023年，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将深入学习宣传贯彻党的二十大精神，认真贯彻落实国务院和省、市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政府部署要求，全面推进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领域政府信息公开工作。</w:t>
      </w: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进一步规范完善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政府信息公开平台各栏目的功能与分类，加强主动公开政府信息的管理和维护，确保信息发布及时、规范。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加强重要政策发布和信息管理，及时做好重大政策、权威信息的发布工作，创新政策解读的方式和途径，进一步提升政策解读质量和实效。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严格按照国家和省、市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部署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做好信息公开工作，不断提升全市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房产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系统信息公开和信息服务水平。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" w:cs="黑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-2-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-2-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161F43DC"/>
    <w:rsid w:val="1AAA0F65"/>
    <w:rsid w:val="1E234C86"/>
    <w:rsid w:val="27A34D5A"/>
    <w:rsid w:val="2D6530C5"/>
    <w:rsid w:val="309E7931"/>
    <w:rsid w:val="3318478F"/>
    <w:rsid w:val="41316FF0"/>
    <w:rsid w:val="444A1CF2"/>
    <w:rsid w:val="46500044"/>
    <w:rsid w:val="48984D55"/>
    <w:rsid w:val="5B9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9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2331</Words>
  <Characters>2425</Characters>
  <Lines>0</Lines>
  <Paragraphs>0</Paragraphs>
  <TotalTime>5</TotalTime>
  <ScaleCrop>false</ScaleCrop>
  <LinksUpToDate>false</LinksUpToDate>
  <CharactersWithSpaces>2425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cp:lastPrinted>2023-02-06T00:59:00Z</cp:lastPrinted>
  <dcterms:modified xsi:type="dcterms:W3CDTF">2023-02-06T06:37:16Z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FCE55ADC324E4D04A887A6B69606E955</vt:lpwstr>
  </property>
</Properties>
</file>