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阿城区</w:t>
      </w:r>
      <w:r>
        <w:rPr>
          <w:rFonts w:hint="eastAsia" w:ascii="方正小标宋简体" w:hAnsi="方正小标宋简体" w:eastAsia="方正小标宋简体" w:cs="方正小标宋简体"/>
          <w:b w:val="0"/>
          <w:bCs w:val="0"/>
          <w:sz w:val="44"/>
          <w:szCs w:val="44"/>
          <w:highlight w:val="none"/>
          <w:lang w:val="en-US" w:eastAsia="zh-CN"/>
        </w:rPr>
        <w:t>乡村振兴局</w:t>
      </w:r>
      <w:r>
        <w:rPr>
          <w:rFonts w:hint="eastAsia" w:ascii="方正小标宋简体" w:hAnsi="方正小标宋简体" w:eastAsia="方正小标宋简体" w:cs="方正小标宋简体"/>
          <w:b w:val="0"/>
          <w:bCs w:val="0"/>
          <w:sz w:val="44"/>
          <w:szCs w:val="44"/>
          <w:lang w:val="en-US" w:eastAsia="zh-CN"/>
        </w:rPr>
        <w:t>2023年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年1月1日至202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年12月31日截止。本报告全面客观的反映了阿城区</w:t>
      </w:r>
      <w:r>
        <w:rPr>
          <w:rFonts w:hint="eastAsia" w:ascii="仿宋_GB2312" w:hAnsi="仿宋_GB2312" w:cs="仿宋_GB2312"/>
          <w:b w:val="0"/>
          <w:bCs w:val="0"/>
          <w:sz w:val="32"/>
          <w:szCs w:val="32"/>
          <w:highlight w:val="none"/>
          <w:lang w:val="en-US" w:eastAsia="zh-CN"/>
        </w:rPr>
        <w:t>乡村振兴局2</w:t>
      </w:r>
      <w:r>
        <w:rPr>
          <w:rFonts w:hint="eastAsia" w:ascii="仿宋_GB2312" w:hAnsi="仿宋_GB2312" w:eastAsia="仿宋_GB2312" w:cs="仿宋_GB2312"/>
          <w:b w:val="0"/>
          <w:bCs w:val="0"/>
          <w:sz w:val="32"/>
          <w:szCs w:val="32"/>
          <w:lang w:val="en-US" w:eastAsia="zh-CN"/>
        </w:rPr>
        <w:t>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年度政府信息公开工作取得的成效和存在的问题。本报告</w:t>
      </w:r>
      <w:r>
        <w:rPr>
          <w:rFonts w:hint="eastAsia" w:ascii="仿宋_GB2312" w:hAnsi="仿宋_GB2312" w:cs="仿宋_GB2312"/>
          <w:b w:val="0"/>
          <w:bCs w:val="0"/>
          <w:sz w:val="32"/>
          <w:szCs w:val="32"/>
          <w:lang w:val="en-US" w:eastAsia="zh-CN"/>
        </w:rPr>
        <w:t>电子版</w:t>
      </w:r>
      <w:r>
        <w:rPr>
          <w:rFonts w:hint="eastAsia" w:ascii="仿宋_GB2312" w:hAnsi="仿宋" w:eastAsia="仿宋_GB2312"/>
          <w:sz w:val="32"/>
          <w:szCs w:val="32"/>
        </w:rPr>
        <w:t>可以通过哈尔滨市</w:t>
      </w:r>
      <w:r>
        <w:rPr>
          <w:rFonts w:hint="eastAsia" w:ascii="仿宋_GB2312" w:hAnsi="仿宋"/>
          <w:sz w:val="32"/>
          <w:szCs w:val="32"/>
          <w:lang w:eastAsia="zh-CN"/>
        </w:rPr>
        <w:t>阿城</w:t>
      </w:r>
      <w:r>
        <w:rPr>
          <w:rFonts w:hint="eastAsia" w:ascii="仿宋_GB2312" w:hAnsi="仿宋" w:eastAsia="仿宋_GB2312"/>
          <w:sz w:val="32"/>
          <w:szCs w:val="32"/>
        </w:rPr>
        <w:t>区人民政府门户网站→政府信息公开专栏→政务信息公开年报查阅或下载，</w:t>
      </w:r>
      <w:r>
        <w:rPr>
          <w:rFonts w:hint="eastAsia" w:ascii="仿宋_GB2312" w:hAnsi="仿宋_GB2312" w:cs="仿宋_GB2312"/>
          <w:b w:val="0"/>
          <w:bCs w:val="0"/>
          <w:sz w:val="32"/>
          <w:szCs w:val="32"/>
          <w:lang w:val="en-US" w:eastAsia="zh-CN"/>
        </w:rPr>
        <w:t>网址为</w:t>
      </w:r>
      <w:r>
        <w:rPr>
          <w:rFonts w:hint="eastAsia" w:ascii="仿宋_GB2312" w:hAnsi="仿宋_GB2312" w:eastAsia="仿宋_GB2312" w:cs="仿宋_GB2312"/>
          <w:b w:val="0"/>
          <w:bCs w:val="0"/>
          <w:sz w:val="32"/>
          <w:szCs w:val="32"/>
          <w:lang w:val="en-US" w:eastAsia="zh-CN"/>
        </w:rPr>
        <w:t>（http://www.acheng.gov.cn/）向社会公开，欢迎社会各界进行监督、提出意见，欢迎广大机关企事业单位和人民群众参阅使用。如对本报告有疑问、意见和建议，请联系</w:t>
      </w:r>
      <w:r>
        <w:rPr>
          <w:rFonts w:hint="eastAsia" w:ascii="仿宋_GB2312" w:hAnsi="仿宋_GB2312" w:eastAsia="仿宋_GB2312" w:cs="仿宋_GB2312"/>
          <w:sz w:val="32"/>
          <w:szCs w:val="32"/>
        </w:rPr>
        <w:t>阿城区乡村振兴局，地址：阿城区上京大道66号；邮编：150300；联系电话：0451-53767031</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cs="仿宋_GB2312"/>
          <w:sz w:val="32"/>
          <w:szCs w:val="32"/>
          <w:highlight w:val="none"/>
          <w:lang w:val="en-US" w:eastAsia="zh-CN"/>
        </w:rPr>
        <w:t>阿城区乡村振兴局</w:t>
      </w:r>
      <w:r>
        <w:rPr>
          <w:rFonts w:hint="eastAsia" w:ascii="仿宋_GB2312" w:hAnsi="仿宋_GB2312" w:eastAsia="仿宋_GB2312" w:cs="仿宋_GB2312"/>
          <w:sz w:val="32"/>
          <w:szCs w:val="32"/>
        </w:rPr>
        <w:t>全面贯彻落实《条例》和国家、省、市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工作部署，按照</w:t>
      </w:r>
      <w:r>
        <w:rPr>
          <w:rFonts w:hint="eastAsia" w:ascii="仿宋_GB2312" w:hAnsi="仿宋_GB2312" w:eastAsia="仿宋_GB2312" w:cs="仿宋_GB2312"/>
          <w:sz w:val="32"/>
          <w:szCs w:val="32"/>
          <w:lang w:val="en-US" w:eastAsia="zh-CN"/>
        </w:rPr>
        <w:t>《哈尔滨市人民政府办公厅关于印发哈尔滨市2020年政务公开重点工作任务责任分解表的通知》（哈政办发〔2020〕28号）</w:t>
      </w:r>
      <w:r>
        <w:rPr>
          <w:rFonts w:hint="eastAsia" w:ascii="仿宋_GB2312" w:hAnsi="仿宋_GB2312" w:eastAsia="仿宋_GB2312" w:cs="仿宋_GB2312"/>
          <w:sz w:val="32"/>
          <w:szCs w:val="32"/>
        </w:rPr>
        <w:t>，圆满完成202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年度政务公开工作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3D3D3D"/>
          <w:sz w:val="32"/>
          <w:szCs w:val="32"/>
          <w:lang w:val="en-US" w:eastAsia="zh-CN"/>
        </w:rPr>
      </w:pPr>
      <w:r>
        <w:rPr>
          <w:rFonts w:hint="eastAsia" w:ascii="仿宋_GB2312" w:hAnsi="仿宋_GB2312" w:eastAsia="仿宋_GB2312" w:cs="仿宋_GB2312"/>
          <w:color w:val="auto"/>
          <w:sz w:val="32"/>
          <w:szCs w:val="32"/>
        </w:rPr>
        <w:t>按照《</w:t>
      </w:r>
      <w:r>
        <w:rPr>
          <w:rFonts w:hint="eastAsia" w:ascii="仿宋_GB2312" w:hAnsi="仿宋_GB2312" w:cs="仿宋_GB2312"/>
          <w:color w:val="auto"/>
          <w:sz w:val="32"/>
          <w:szCs w:val="32"/>
          <w:lang w:eastAsia="zh-CN"/>
        </w:rPr>
        <w:t>条例</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要求</w:t>
      </w:r>
      <w:r>
        <w:rPr>
          <w:rFonts w:hint="eastAsia" w:ascii="仿宋_GB2312" w:hAnsi="仿宋_GB2312" w:eastAsia="仿宋_GB2312" w:cs="仿宋_GB2312"/>
          <w:color w:val="auto"/>
          <w:sz w:val="32"/>
          <w:szCs w:val="32"/>
        </w:rPr>
        <w:t>,以公开为原则,以不公开为例外,</w:t>
      </w:r>
      <w:r>
        <w:rPr>
          <w:rFonts w:hint="eastAsia" w:ascii="仿宋_GB2312" w:hAnsi="仿宋_GB2312" w:cs="仿宋_GB2312"/>
          <w:color w:val="auto"/>
          <w:sz w:val="32"/>
          <w:szCs w:val="32"/>
          <w:lang w:eastAsia="zh-CN"/>
        </w:rPr>
        <w:t>为满足社会对政府信息的一般需求，</w:t>
      </w:r>
      <w:r>
        <w:rPr>
          <w:rFonts w:hint="eastAsia" w:ascii="仿宋_GB2312" w:hAnsi="仿宋_GB2312" w:eastAsia="仿宋_GB2312" w:cs="仿宋_GB2312"/>
          <w:color w:val="auto"/>
          <w:sz w:val="32"/>
          <w:szCs w:val="32"/>
        </w:rPr>
        <w:t>主动公开</w:t>
      </w:r>
      <w:r>
        <w:rPr>
          <w:rFonts w:hint="eastAsia" w:ascii="仿宋_GB2312" w:hAnsi="仿宋_GB2312" w:cs="仿宋_GB2312"/>
          <w:color w:val="auto"/>
          <w:sz w:val="32"/>
          <w:szCs w:val="32"/>
          <w:lang w:eastAsia="zh-CN"/>
        </w:rPr>
        <w:t>各项</w:t>
      </w:r>
      <w:r>
        <w:rPr>
          <w:rFonts w:hint="eastAsia" w:ascii="仿宋_GB2312" w:hAnsi="仿宋_GB2312" w:eastAsia="仿宋_GB2312" w:cs="仿宋_GB2312"/>
          <w:color w:val="auto"/>
          <w:sz w:val="32"/>
          <w:szCs w:val="32"/>
        </w:rPr>
        <w:t>政府信息。主动公开了机关职能、机构设置等政府信息，全年</w:t>
      </w:r>
      <w:r>
        <w:rPr>
          <w:rFonts w:hint="eastAsia" w:ascii="仿宋_GB2312" w:hAnsi="仿宋_GB2312" w:cs="仿宋_GB2312"/>
          <w:color w:val="auto"/>
          <w:sz w:val="32"/>
          <w:szCs w:val="32"/>
          <w:lang w:eastAsia="zh-CN"/>
        </w:rPr>
        <w:t>经审核</w:t>
      </w:r>
      <w:r>
        <w:rPr>
          <w:rFonts w:hint="eastAsia" w:ascii="仿宋_GB2312" w:hAnsi="仿宋_GB2312" w:eastAsia="仿宋_GB2312" w:cs="仿宋_GB2312"/>
          <w:color w:val="auto"/>
          <w:sz w:val="32"/>
          <w:szCs w:val="32"/>
        </w:rPr>
        <w:t>主动公开了防返贫监测户名单</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雨露计划补贴类4条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衔接资金及项目实施6条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项目库8条。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为满足社会对政府信息的特殊需求，依法开展依申请公开事项。</w:t>
      </w:r>
      <w:r>
        <w:rPr>
          <w:rFonts w:hint="eastAsia" w:ascii="仿宋_GB2312" w:hAnsi="仿宋_GB2312" w:cs="仿宋_GB2312"/>
          <w:sz w:val="32"/>
          <w:szCs w:val="32"/>
          <w:lang w:val="en-US" w:eastAsia="zh-CN"/>
        </w:rPr>
        <w:t>2023年度收到政府信息公开申请0件，上年结转政府信息公开申请0件。</w:t>
      </w:r>
      <w:r>
        <w:rPr>
          <w:rFonts w:hint="eastAsia" w:ascii="仿宋_GB2312" w:hAnsi="仿宋_GB2312" w:cs="仿宋_GB2312"/>
          <w:sz w:val="32"/>
          <w:szCs w:val="32"/>
          <w:lang w:eastAsia="zh-CN"/>
        </w:rPr>
        <w:t>因政府信息公开申请引发行政复议0件。</w:t>
      </w:r>
    </w:p>
    <w:p>
      <w:pPr>
        <w:keepNext w:val="0"/>
        <w:keepLines w:val="0"/>
        <w:pageBreakBefore w:val="0"/>
        <w:widowControl w:val="0"/>
        <w:numPr>
          <w:ilvl w:val="0"/>
          <w:numId w:val="2"/>
        </w:numPr>
        <w:tabs>
          <w:tab w:val="left" w:pos="5622"/>
        </w:tabs>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政府信息管理</w:t>
      </w:r>
    </w:p>
    <w:p>
      <w:pPr>
        <w:keepNext w:val="0"/>
        <w:keepLines w:val="0"/>
        <w:pageBreakBefore w:val="0"/>
        <w:widowControl w:val="0"/>
        <w:numPr>
          <w:ilvl w:val="0"/>
          <w:numId w:val="0"/>
        </w:numPr>
        <w:tabs>
          <w:tab w:val="left" w:pos="5622"/>
        </w:tabs>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为有效把政府信息公开工作落到实处，进一步推进机关行政效能作风建设，成立了乡村振兴局政府信息公开工作领导小组，组长由局长亲自担任，</w:t>
      </w:r>
      <w:r>
        <w:rPr>
          <w:rFonts w:hint="eastAsia" w:ascii="仿宋_GB2312" w:hAnsi="仿宋_GB2312" w:cs="仿宋_GB2312"/>
          <w:sz w:val="32"/>
          <w:szCs w:val="32"/>
          <w:shd w:val="clear" w:color="auto" w:fill="FFFFFF"/>
          <w:lang w:val="en-US" w:eastAsia="zh-CN"/>
        </w:rPr>
        <w:t>明确政务信息公开工作由综合科牵头负责，同时各科室指定专人负责信息公开工作，把工作责任落实到个人，</w:t>
      </w:r>
      <w:r>
        <w:rPr>
          <w:rFonts w:hint="eastAsia" w:ascii="仿宋_GB2312" w:hAnsi="仿宋_GB2312" w:cs="仿宋_GB2312"/>
          <w:sz w:val="32"/>
          <w:szCs w:val="32"/>
          <w:lang w:eastAsia="zh-CN"/>
        </w:rPr>
        <w:t>确保政府信息公开各项工作有序开展。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shd w:val="clear" w:color="auto" w:fill="FFFFFF"/>
          <w:lang w:val="en-US" w:eastAsia="zh-CN"/>
        </w:rPr>
        <w:t>按照《条例》要求，及时有效的做好信息公开平台建设工作，将</w:t>
      </w:r>
      <w:r>
        <w:rPr>
          <w:rFonts w:hint="eastAsia" w:ascii="仿宋_GB2312" w:hAnsi="仿宋_GB2312" w:eastAsia="仿宋_GB2312" w:cs="仿宋_GB2312"/>
          <w:color w:val="auto"/>
          <w:sz w:val="32"/>
          <w:szCs w:val="32"/>
        </w:rPr>
        <w:t>防返贫监测</w:t>
      </w:r>
      <w:r>
        <w:rPr>
          <w:rFonts w:hint="eastAsia" w:ascii="仿宋_GB2312" w:hAnsi="仿宋_GB2312" w:cs="仿宋_GB2312"/>
          <w:color w:val="auto"/>
          <w:sz w:val="32"/>
          <w:szCs w:val="32"/>
          <w:lang w:eastAsia="zh-CN"/>
        </w:rPr>
        <w:t>户、雨露计划补贴、衔接资金项目等受公众关注事项列为必公开事项，</w:t>
      </w:r>
      <w:r>
        <w:rPr>
          <w:rFonts w:hint="eastAsia" w:ascii="仿宋_GB2312" w:hAnsi="仿宋_GB2312" w:cs="仿宋_GB2312"/>
          <w:sz w:val="32"/>
          <w:szCs w:val="32"/>
          <w:shd w:val="clear" w:color="auto" w:fill="FFFFFF"/>
          <w:lang w:val="en-US" w:eastAsia="zh-CN"/>
        </w:rPr>
        <w:t>接受社会各界监督，充分保障公众的知情权。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cs="仿宋_GB2312"/>
          <w:sz w:val="32"/>
          <w:szCs w:val="32"/>
          <w:lang w:eastAsia="zh-CN"/>
        </w:rPr>
        <w:t>监督保障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cs="仿宋_GB2312"/>
          <w:sz w:val="32"/>
          <w:szCs w:val="32"/>
          <w:lang w:eastAsia="zh-CN"/>
        </w:rPr>
        <w:t>着重在主动公开和依法申请公开上下功夫，建立健全信息公开长效机制，及时更新信息采集与发布流程，健全信息公开考核与监督评议机制，完善政府信息公开的保密审查制度，提高了信息公开工作的规范化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二、主动公开政府信息情况</w:t>
      </w:r>
    </w:p>
    <w:tbl>
      <w:tblPr>
        <w:tblStyle w:val="3"/>
        <w:tblW w:w="113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2730"/>
        <w:gridCol w:w="2797"/>
        <w:gridCol w:w="3012"/>
        <w:gridCol w:w="27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2"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5"/>
                <w:lang w:val="en-US" w:eastAsia="zh-CN" w:bidi="ar-SA"/>
              </w:rPr>
              <w:t>本年</w:t>
            </w:r>
            <w:r>
              <w:rPr>
                <w:rStyle w:val="7"/>
                <w:rFonts w:eastAsia="宋体"/>
                <w:lang w:val="en-US" w:eastAsia="zh-CN" w:bidi="ar-SA"/>
              </w:rPr>
              <w:t>制</w:t>
            </w:r>
            <w:r>
              <w:rPr>
                <w:rStyle w:val="5"/>
                <w:lang w:val="en-US" w:eastAsia="zh-CN" w:bidi="ar-SA"/>
              </w:rPr>
              <w:t>发件</w:t>
            </w:r>
            <w:r>
              <w:rPr>
                <w:rStyle w:val="7"/>
                <w:rFonts w:eastAsia="宋体"/>
                <w:lang w:val="en-US" w:eastAsia="zh-CN" w:bidi="ar-SA"/>
              </w:rPr>
              <w:t>数</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18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5"/>
                <w:lang w:val="en-US" w:eastAsia="zh-CN" w:bidi="ar-SA"/>
              </w:rPr>
              <w:t>现行有效件</w:t>
            </w:r>
            <w:r>
              <w:rPr>
                <w:rStyle w:val="7"/>
                <w:rFonts w:eastAsia="宋体"/>
                <w:lang w:val="en-US" w:eastAsia="zh-CN" w:bidi="ar-SA"/>
              </w:rPr>
              <w:t>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1801"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eastAsia="zh-CN"/>
              </w:rPr>
              <w:t>0</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5542" w:type="dxa"/>
            <w:gridSpan w:val="3"/>
            <w:tcBorders>
              <w:tl2br w:val="nil"/>
              <w:tr2bl w:val="nil"/>
            </w:tcBorders>
            <w:noWrap w:val="0"/>
            <w:vAlign w:val="center"/>
          </w:tcPr>
          <w:p>
            <w:pPr>
              <w:jc w:val="center"/>
              <w:rPr>
                <w:rFonts w:hint="default" w:ascii="Calibri" w:hAnsi="Calibri" w:eastAsia="等线" w:cs="Calibri"/>
                <w:i w:val="0"/>
                <w:color w:val="000000"/>
                <w:sz w:val="21"/>
                <w:szCs w:val="21"/>
                <w:u w:val="none"/>
                <w:lang w:val="en-US"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5542" w:type="dxa"/>
            <w:gridSpan w:val="3"/>
            <w:tcBorders>
              <w:tl2br w:val="nil"/>
              <w:tr2bl w:val="nil"/>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5542" w:type="dxa"/>
            <w:gridSpan w:val="3"/>
            <w:tcBorders>
              <w:tl2br w:val="nil"/>
              <w:tr2bl w:val="nil"/>
            </w:tcBorders>
            <w:noWrap w:val="0"/>
            <w:vAlign w:val="center"/>
          </w:tcPr>
          <w:p>
            <w:pPr>
              <w:jc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53"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5542" w:type="dxa"/>
            <w:gridSpan w:val="3"/>
            <w:tcBorders>
              <w:tl2br w:val="nil"/>
              <w:tr2bl w:val="nil"/>
            </w:tcBorders>
            <w:noWrap w:val="0"/>
            <w:vAlign w:val="center"/>
          </w:tcPr>
          <w:p>
            <w:pPr>
              <w:jc w:val="center"/>
              <w:rPr>
                <w:rFonts w:hint="eastAsia" w:ascii="等线" w:hAnsi="等线" w:eastAsia="等线" w:cs="等线"/>
                <w:i w:val="0"/>
                <w:color w:val="000000"/>
                <w:sz w:val="22"/>
                <w:szCs w:val="22"/>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3"/>
        <w:tblW w:w="113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751"/>
        <w:gridCol w:w="1255"/>
        <w:gridCol w:w="2917"/>
        <w:gridCol w:w="973"/>
        <w:gridCol w:w="923"/>
        <w:gridCol w:w="799"/>
        <w:gridCol w:w="953"/>
        <w:gridCol w:w="942"/>
        <w:gridCol w:w="923"/>
        <w:gridCol w:w="9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923" w:type="dxa"/>
            <w:gridSpan w:val="3"/>
            <w:vMerge w:val="restart"/>
            <w:tcBorders>
              <w:tl2br w:val="nil"/>
              <w:tr2bl w:val="nil"/>
            </w:tcBorders>
            <w:noWrap w:val="0"/>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6415" w:type="dxa"/>
            <w:gridSpan w:val="7"/>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923" w:type="dxa"/>
            <w:gridSpan w:val="3"/>
            <w:vMerge w:val="continue"/>
            <w:tcBorders>
              <w:tl2br w:val="nil"/>
              <w:tr2bl w:val="nil"/>
            </w:tcBorders>
            <w:noWrap w:val="0"/>
            <w:vAlign w:val="center"/>
          </w:tcPr>
          <w:p>
            <w:pPr>
              <w:jc w:val="left"/>
              <w:rPr>
                <w:rFonts w:hint="eastAsia" w:ascii="楷体" w:hAnsi="楷体" w:eastAsia="楷体" w:cs="楷体"/>
                <w:i w:val="0"/>
                <w:color w:val="000000"/>
                <w:sz w:val="20"/>
                <w:szCs w:val="20"/>
                <w:u w:val="none"/>
              </w:rPr>
            </w:pPr>
          </w:p>
        </w:tc>
        <w:tc>
          <w:tcPr>
            <w:tcW w:w="9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4540" w:type="dxa"/>
            <w:gridSpan w:val="5"/>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902"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158" w:hRule="atLeast"/>
          <w:jc w:val="center"/>
        </w:trPr>
        <w:tc>
          <w:tcPr>
            <w:tcW w:w="4923" w:type="dxa"/>
            <w:gridSpan w:val="3"/>
            <w:vMerge w:val="continue"/>
            <w:tcBorders>
              <w:tl2br w:val="nil"/>
              <w:tr2bl w:val="nil"/>
            </w:tcBorders>
            <w:noWrap w:val="0"/>
            <w:vAlign w:val="center"/>
          </w:tcPr>
          <w:p>
            <w:pPr>
              <w:jc w:val="left"/>
              <w:rPr>
                <w:rFonts w:hint="eastAsia" w:ascii="楷体" w:hAnsi="楷体" w:eastAsia="楷体" w:cs="楷体"/>
                <w:i w:val="0"/>
                <w:color w:val="000000"/>
                <w:sz w:val="20"/>
                <w:szCs w:val="20"/>
                <w:u w:val="none"/>
              </w:rPr>
            </w:pPr>
          </w:p>
        </w:tc>
        <w:tc>
          <w:tcPr>
            <w:tcW w:w="973" w:type="dxa"/>
            <w:vMerge w:val="continue"/>
            <w:tcBorders>
              <w:tl2br w:val="nil"/>
              <w:tr2bl w:val="nil"/>
            </w:tcBorders>
            <w:noWrap w:val="0"/>
            <w:vAlign w:val="center"/>
          </w:tcPr>
          <w:p>
            <w:pPr>
              <w:jc w:val="center"/>
              <w:rPr>
                <w:rFonts w:hint="eastAsia" w:ascii="宋体" w:hAnsi="宋体" w:eastAsia="宋体" w:cs="宋体"/>
                <w:i w:val="0"/>
                <w:color w:val="000000"/>
                <w:sz w:val="20"/>
                <w:szCs w:val="20"/>
                <w:u w:val="none"/>
              </w:rPr>
            </w:pP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商业</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科研</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社会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公益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组织</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法律</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服务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902" w:type="dxa"/>
            <w:vMerge w:val="continue"/>
            <w:tcBorders>
              <w:tl2br w:val="nil"/>
              <w:tr2bl w:val="nil"/>
            </w:tcBorders>
            <w:noWrap w:val="0"/>
            <w:vAlign w:val="center"/>
          </w:tcPr>
          <w:p>
            <w:pPr>
              <w:jc w:val="center"/>
              <w:rPr>
                <w:rFonts w:hint="eastAsia" w:ascii="宋体" w:hAnsi="宋体" w:eastAsia="宋体" w:cs="宋体"/>
                <w:i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4923" w:type="dxa"/>
            <w:gridSpan w:val="3"/>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90" w:hRule="atLeast"/>
          <w:jc w:val="center"/>
        </w:trPr>
        <w:tc>
          <w:tcPr>
            <w:tcW w:w="4923" w:type="dxa"/>
            <w:gridSpan w:val="3"/>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751"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三、本年度办理结果</w:t>
            </w:r>
          </w:p>
        </w:tc>
        <w:tc>
          <w:tcPr>
            <w:tcW w:w="4172"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4172"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8"/>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（三）不予公开</w:t>
            </w: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15"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（四）无法提供</w:t>
            </w: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（五）不予处理</w:t>
            </w: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59"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355"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255"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（六）其他处理</w:t>
            </w:r>
          </w:p>
        </w:tc>
        <w:tc>
          <w:tcPr>
            <w:tcW w:w="291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13"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1255"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2917"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751" w:type="dxa"/>
            <w:vMerge w:val="continue"/>
            <w:tcBorders>
              <w:tl2br w:val="nil"/>
              <w:tr2bl w:val="nil"/>
            </w:tcBorders>
            <w:noWrap w:val="0"/>
            <w:vAlign w:val="center"/>
          </w:tcPr>
          <w:p>
            <w:pPr>
              <w:jc w:val="left"/>
              <w:rPr>
                <w:rFonts w:hint="eastAsia" w:ascii="宋体" w:hAnsi="宋体" w:eastAsia="宋体" w:cs="宋体"/>
                <w:i w:val="0"/>
                <w:color w:val="000000"/>
                <w:sz w:val="20"/>
                <w:szCs w:val="20"/>
                <w:u w:val="none"/>
              </w:rPr>
            </w:pPr>
          </w:p>
        </w:tc>
        <w:tc>
          <w:tcPr>
            <w:tcW w:w="4172" w:type="dxa"/>
            <w:gridSpan w:val="2"/>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77" w:hRule="atLeast"/>
          <w:jc w:val="center"/>
        </w:trPr>
        <w:tc>
          <w:tcPr>
            <w:tcW w:w="4923" w:type="dxa"/>
            <w:gridSpan w:val="3"/>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97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3"/>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7"/>
        <w:gridCol w:w="779"/>
        <w:gridCol w:w="783"/>
        <w:gridCol w:w="784"/>
        <w:gridCol w:w="695"/>
        <w:gridCol w:w="783"/>
        <w:gridCol w:w="781"/>
        <w:gridCol w:w="786"/>
        <w:gridCol w:w="779"/>
        <w:gridCol w:w="783"/>
        <w:gridCol w:w="784"/>
        <w:gridCol w:w="779"/>
        <w:gridCol w:w="743"/>
        <w:gridCol w:w="598"/>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4933" w:type="dxa"/>
            <w:gridSpan w:val="10"/>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2539"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394"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果 </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结 </w:t>
            </w: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482"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8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509"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453"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45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7"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1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4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38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121212"/>
          <w:sz w:val="32"/>
          <w:szCs w:val="32"/>
          <w:lang w:val="en-US" w:eastAsia="zh-CN"/>
        </w:rPr>
      </w:pPr>
      <w:r>
        <w:rPr>
          <w:rFonts w:hint="eastAsia" w:ascii="仿宋_GB2312" w:hAnsi="仿宋_GB2312" w:eastAsia="仿宋_GB2312" w:cs="仿宋_GB2312"/>
          <w:color w:val="121212"/>
          <w:sz w:val="32"/>
          <w:szCs w:val="32"/>
          <w:lang w:val="en-US" w:eastAsia="zh-CN"/>
        </w:rPr>
        <w:t>（一）主要问题</w:t>
      </w:r>
      <w:bookmarkStart w:id="0" w:name="_GoBack"/>
      <w:bookmarkEnd w:id="0"/>
      <w:r>
        <w:rPr>
          <w:rFonts w:hint="eastAsia" w:ascii="仿宋_GB2312" w:hAnsi="仿宋_GB2312" w:eastAsia="仿宋_GB2312" w:cs="仿宋_GB2312"/>
          <w:color w:val="121212"/>
          <w:sz w:val="32"/>
          <w:szCs w:val="32"/>
          <w:lang w:val="en-US" w:eastAsia="zh-CN"/>
        </w:rPr>
        <w:t>：</w:t>
      </w:r>
      <w:r>
        <w:rPr>
          <w:rFonts w:hint="eastAsia" w:ascii="仿宋_GB2312" w:hAnsi="仿宋_GB2312" w:cs="仿宋_GB2312"/>
          <w:color w:val="121212"/>
          <w:sz w:val="32"/>
          <w:szCs w:val="32"/>
          <w:lang w:val="en-US" w:eastAsia="zh-CN"/>
        </w:rPr>
        <w:t>2023年，一是对政务公开工作认识不足、政策把握不准；二是公开机制不够完善，政府信息公开工作缺乏有效的管理。</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121212"/>
          <w:sz w:val="32"/>
          <w:szCs w:val="32"/>
          <w:lang w:val="en-US" w:eastAsia="zh-CN"/>
        </w:rPr>
        <w:t>（二）改进情况：</w:t>
      </w:r>
      <w:r>
        <w:rPr>
          <w:rFonts w:hint="eastAsia" w:ascii="仿宋_GB2312" w:hAnsi="仿宋_GB2312" w:cs="仿宋_GB2312"/>
          <w:color w:val="121212"/>
          <w:sz w:val="32"/>
          <w:szCs w:val="32"/>
          <w:lang w:val="en-US" w:eastAsia="zh-CN"/>
        </w:rPr>
        <w:t>2024年，一是采取多种形式深入学习领会习近平总书记关于政务公开工作的重要指示重要批示精神和《政府信息公开条例》等文件规定，提高对政务公开工作的重视程度和业务能力；二是建立政府信息公开管理机制，加强对政府信息公开工作管理，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cs="仿宋_GB2312"/>
          <w:color w:val="121212"/>
          <w:sz w:val="32"/>
          <w:szCs w:val="32"/>
          <w:lang w:val="en-US" w:eastAsia="zh-CN"/>
        </w:rPr>
      </w:pPr>
      <w:r>
        <w:rPr>
          <w:rFonts w:hint="eastAsia" w:ascii="仿宋_GB2312" w:hAnsi="仿宋_GB2312" w:cs="仿宋_GB2312"/>
          <w:color w:val="121212"/>
          <w:sz w:val="32"/>
          <w:szCs w:val="32"/>
          <w:lang w:val="en-US" w:eastAsia="zh-CN"/>
        </w:rPr>
        <w:t>2023年，无涉及《政府信息公开信息处理费管理办法》中规定的收取信息处理费情况。</w:t>
      </w:r>
    </w:p>
    <w:p/>
    <w:sectPr>
      <w:footerReference r:id="rId3" w:type="default"/>
      <w:footerReference r:id="rId4" w:type="even"/>
      <w:pgSz w:w="11906" w:h="16838"/>
      <w:pgMar w:top="2098" w:right="1474" w:bottom="1984" w:left="1588" w:header="851" w:footer="1644" w:gutter="0"/>
      <w:pgBorders>
        <w:top w:val="none" w:sz="0" w:space="0"/>
        <w:left w:val="none" w:sz="0" w:space="0"/>
        <w:bottom w:val="none" w:sz="0" w:space="0"/>
        <w:right w:val="none" w:sz="0" w:space="0"/>
      </w:pgBorders>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DEEF9"/>
    <w:multiLevelType w:val="singleLevel"/>
    <w:tmpl w:val="D61DEEF9"/>
    <w:lvl w:ilvl="0" w:tentative="0">
      <w:start w:val="2"/>
      <w:numFmt w:val="chineseCounting"/>
      <w:suff w:val="nothing"/>
      <w:lvlText w:val="（%1）"/>
      <w:lvlJc w:val="left"/>
      <w:rPr>
        <w:rFonts w:hint="eastAsia"/>
        <w:color w:val="auto"/>
      </w:rPr>
    </w:lvl>
  </w:abstractNum>
  <w:abstractNum w:abstractNumId="1">
    <w:nsid w:val="FFDC23E1"/>
    <w:multiLevelType w:val="singleLevel"/>
    <w:tmpl w:val="FFDC23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48984D55"/>
    <w:rsid w:val="00D25994"/>
    <w:rsid w:val="0100390C"/>
    <w:rsid w:val="02CF7A3A"/>
    <w:rsid w:val="04936845"/>
    <w:rsid w:val="057760FF"/>
    <w:rsid w:val="0AC62658"/>
    <w:rsid w:val="0C3B7EEE"/>
    <w:rsid w:val="0FEB007B"/>
    <w:rsid w:val="11D34725"/>
    <w:rsid w:val="171F22F9"/>
    <w:rsid w:val="184620DD"/>
    <w:rsid w:val="193A32DB"/>
    <w:rsid w:val="1A201A9C"/>
    <w:rsid w:val="1DA378B8"/>
    <w:rsid w:val="212E5E1B"/>
    <w:rsid w:val="229E5DEF"/>
    <w:rsid w:val="24F627AC"/>
    <w:rsid w:val="28462482"/>
    <w:rsid w:val="28A864B3"/>
    <w:rsid w:val="29A77298"/>
    <w:rsid w:val="2B5B15BB"/>
    <w:rsid w:val="2D146A8F"/>
    <w:rsid w:val="2D80355B"/>
    <w:rsid w:val="2E6938F5"/>
    <w:rsid w:val="301663F8"/>
    <w:rsid w:val="317E6003"/>
    <w:rsid w:val="341B6EEA"/>
    <w:rsid w:val="35446738"/>
    <w:rsid w:val="3961212F"/>
    <w:rsid w:val="3BC9431F"/>
    <w:rsid w:val="3BDD5FA2"/>
    <w:rsid w:val="3D0575D8"/>
    <w:rsid w:val="3F19AC6E"/>
    <w:rsid w:val="3FD339BE"/>
    <w:rsid w:val="40632F94"/>
    <w:rsid w:val="43815195"/>
    <w:rsid w:val="463B2057"/>
    <w:rsid w:val="46D83FB0"/>
    <w:rsid w:val="4723522B"/>
    <w:rsid w:val="48984D55"/>
    <w:rsid w:val="4B2917CF"/>
    <w:rsid w:val="4D6C0FAE"/>
    <w:rsid w:val="50792360"/>
    <w:rsid w:val="508E48DA"/>
    <w:rsid w:val="538716AC"/>
    <w:rsid w:val="53F81D96"/>
    <w:rsid w:val="572B3C88"/>
    <w:rsid w:val="573B211D"/>
    <w:rsid w:val="57FA02FC"/>
    <w:rsid w:val="59041933"/>
    <w:rsid w:val="59DC09C9"/>
    <w:rsid w:val="5ABF4E13"/>
    <w:rsid w:val="5FFB7106"/>
    <w:rsid w:val="62437CF0"/>
    <w:rsid w:val="64863BF1"/>
    <w:rsid w:val="678E06E3"/>
    <w:rsid w:val="69085BD7"/>
    <w:rsid w:val="69260270"/>
    <w:rsid w:val="69B61AD7"/>
    <w:rsid w:val="69D87C9F"/>
    <w:rsid w:val="6AFFDBF8"/>
    <w:rsid w:val="6D5D5725"/>
    <w:rsid w:val="72A61499"/>
    <w:rsid w:val="757D363C"/>
    <w:rsid w:val="76946CFC"/>
    <w:rsid w:val="78A53442"/>
    <w:rsid w:val="796D40A2"/>
    <w:rsid w:val="799F7E92"/>
    <w:rsid w:val="7A1268B5"/>
    <w:rsid w:val="7D8C2E23"/>
    <w:rsid w:val="7E4D25B2"/>
    <w:rsid w:val="BED971B0"/>
    <w:rsid w:val="FBFF7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宋体" w:hAnsi="宋体" w:eastAsia="宋体" w:cs="宋体"/>
      <w:color w:val="000000"/>
      <w:sz w:val="20"/>
      <w:szCs w:val="20"/>
      <w:u w:val="none"/>
    </w:rPr>
  </w:style>
  <w:style w:type="paragraph" w:customStyle="1" w:styleId="6">
    <w:name w:val="Char"/>
    <w:basedOn w:val="1"/>
    <w:qFormat/>
    <w:uiPriority w:val="0"/>
    <w:pPr>
      <w:tabs>
        <w:tab w:val="left" w:pos="360"/>
      </w:tabs>
    </w:pPr>
    <w:rPr>
      <w:sz w:val="24"/>
    </w:rPr>
  </w:style>
  <w:style w:type="character" w:customStyle="1" w:styleId="7">
    <w:name w:val="font01"/>
    <w:basedOn w:val="4"/>
    <w:qFormat/>
    <w:uiPriority w:val="0"/>
    <w:rPr>
      <w:rFonts w:ascii="Calibri" w:hAnsi="Calibri" w:cs="Calibri"/>
      <w:color w:val="000000"/>
      <w:sz w:val="20"/>
      <w:szCs w:val="20"/>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1811</Words>
  <Characters>1909</Characters>
  <Lines>0</Lines>
  <Paragraphs>0</Paragraphs>
  <TotalTime>0</TotalTime>
  <ScaleCrop>false</ScaleCrop>
  <LinksUpToDate>false</LinksUpToDate>
  <CharactersWithSpaces>1959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2022-12-30T18:04:00Z</dcterms:created>
  <dc:creator>大承将军</dc:creator>
  <cp:lastModifiedBy>greatwall</cp:lastModifiedBy>
  <dcterms:modified xsi:type="dcterms:W3CDTF">2024-02-05T13:37:23Z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D75E1969D5FB400DA8E8C71C361FDA17_13</vt:lpwstr>
  </property>
</Properties>
</file>