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right="0" w:rightChars="0"/>
        <w:jc w:val="both"/>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阿城区财政局2023年</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sz w:val="32"/>
          <w:szCs w:val="32"/>
          <w:lang w:val="en-US" w:eastAsia="zh-CN"/>
        </w:rPr>
        <w:t>本年度报告根据《中华人民共和国政府信息公开条例》（以下简称《条例》）和《国务院办公厅政府信息与政务公开办公室关于印发〈中华人民共和国政府信息公开工作年度报告格式〉的通知》（国办公开办函〔2021〕30号，以下简称《通知》）的要求编制而成。本报告由总体情况、主动公开政府信息情况、收到和处理政府信息公开申请情况、政府信息公开行政复议和行政诉讼情况、存在的主要问题及改进情况、其他需要报告的事项等六部分组成。本报告中所列数据统计期限自202</w:t>
      </w: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年1月1日至202</w:t>
      </w: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年12月31日截止。本报告全面客观的反映了</w:t>
      </w:r>
      <w:r>
        <w:rPr>
          <w:rFonts w:hint="eastAsia" w:ascii="仿宋_GB2312" w:hAnsi="仿宋_GB2312" w:eastAsia="仿宋_GB2312" w:cs="仿宋_GB2312"/>
          <w:sz w:val="32"/>
          <w:szCs w:val="32"/>
        </w:rPr>
        <w:t>哈尔滨市阿城区财政局</w:t>
      </w:r>
      <w:r>
        <w:rPr>
          <w:rFonts w:hint="eastAsia" w:ascii="仿宋_GB2312" w:hAnsi="仿宋_GB2312" w:eastAsia="仿宋_GB2312" w:cs="仿宋_GB2312"/>
          <w:b w:val="0"/>
          <w:bCs w:val="0"/>
          <w:sz w:val="32"/>
          <w:szCs w:val="32"/>
          <w:lang w:val="en-US" w:eastAsia="zh-CN"/>
        </w:rPr>
        <w:t>202</w:t>
      </w: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年度政府信息公开工作取得的成效和存在的问题。本报告</w:t>
      </w:r>
      <w:r>
        <w:rPr>
          <w:rFonts w:hint="eastAsia" w:ascii="仿宋_GB2312" w:hAnsi="仿宋_GB2312" w:cs="仿宋_GB2312"/>
          <w:b w:val="0"/>
          <w:bCs w:val="0"/>
          <w:sz w:val="32"/>
          <w:szCs w:val="32"/>
          <w:lang w:val="en-US" w:eastAsia="zh-CN"/>
        </w:rPr>
        <w:t>电子版</w:t>
      </w:r>
      <w:r>
        <w:rPr>
          <w:rFonts w:hint="eastAsia" w:ascii="仿宋_GB2312" w:hAnsi="仿宋" w:eastAsia="仿宋_GB2312"/>
          <w:sz w:val="32"/>
          <w:szCs w:val="32"/>
        </w:rPr>
        <w:t>可以通过哈尔滨市</w:t>
      </w:r>
      <w:r>
        <w:rPr>
          <w:rFonts w:hint="eastAsia" w:ascii="仿宋_GB2312" w:hAnsi="仿宋"/>
          <w:sz w:val="32"/>
          <w:szCs w:val="32"/>
          <w:lang w:eastAsia="zh-CN"/>
        </w:rPr>
        <w:t>阿城</w:t>
      </w:r>
      <w:r>
        <w:rPr>
          <w:rFonts w:hint="eastAsia" w:ascii="仿宋_GB2312" w:hAnsi="仿宋" w:eastAsia="仿宋_GB2312"/>
          <w:sz w:val="32"/>
          <w:szCs w:val="32"/>
        </w:rPr>
        <w:t>区人民政府门户网站→政府信息公开专栏→政务信息公开年报查阅或下载，</w:t>
      </w:r>
      <w:r>
        <w:rPr>
          <w:rFonts w:hint="eastAsia" w:ascii="仿宋_GB2312" w:hAnsi="仿宋_GB2312" w:cs="仿宋_GB2312"/>
          <w:b w:val="0"/>
          <w:bCs w:val="0"/>
          <w:sz w:val="32"/>
          <w:szCs w:val="32"/>
          <w:lang w:val="en-US" w:eastAsia="zh-CN"/>
        </w:rPr>
        <w:t>网址为</w:t>
      </w:r>
      <w:r>
        <w:rPr>
          <w:rFonts w:hint="eastAsia" w:ascii="仿宋_GB2312" w:hAnsi="仿宋_GB2312" w:eastAsia="仿宋_GB2312" w:cs="仿宋_GB2312"/>
          <w:b w:val="0"/>
          <w:bCs w:val="0"/>
          <w:sz w:val="32"/>
          <w:szCs w:val="32"/>
          <w:lang w:val="en-US" w:eastAsia="zh-CN"/>
        </w:rPr>
        <w:t>（http://www.acheng.gov.cn/）向社会公开，欢迎社会各界进行监督、提出意见，欢迎广大机关企事业单位和人民群众参阅使用。如对本报告有疑问、意见和建议，请联系</w:t>
      </w:r>
      <w:r>
        <w:rPr>
          <w:rFonts w:hint="eastAsia" w:ascii="仿宋_GB2312" w:hAnsi="仿宋_GB2312" w:eastAsia="仿宋_GB2312" w:cs="仿宋_GB2312"/>
          <w:sz w:val="32"/>
          <w:szCs w:val="32"/>
        </w:rPr>
        <w:t>哈尔滨市阿城区财政局</w:t>
      </w:r>
      <w:r>
        <w:rPr>
          <w:rFonts w:hint="eastAsia" w:ascii="仿宋_GB2312" w:hAnsi="仿宋_GB2312" w:eastAsia="仿宋_GB2312" w:cs="仿宋_GB2312"/>
          <w:b w:val="0"/>
          <w:bCs w:val="0"/>
          <w:sz w:val="32"/>
          <w:szCs w:val="32"/>
          <w:lang w:val="en-US" w:eastAsia="zh-CN"/>
        </w:rPr>
        <w:t>，地址：</w:t>
      </w:r>
      <w:r>
        <w:rPr>
          <w:rFonts w:hint="eastAsia" w:ascii="仿宋_GB2312" w:hAnsi="仿宋_GB2312" w:eastAsia="仿宋_GB2312" w:cs="仿宋_GB2312"/>
          <w:sz w:val="32"/>
          <w:szCs w:val="32"/>
        </w:rPr>
        <w:t>阿城区牌路大街361号；邮编：150300；联系电话：0451-53721027。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区财政局全面贯彻落实《条例》和国家、省、市、区工作部署，按照《哈尔滨市人民政府办公厅关于印发哈尔滨市2020年政务公开重点工作任务责任分解表的通知》（哈政办发〔2020〕28号），圆满完成2023年度政务公开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（一）主动公开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2023年，区财政局认真贯彻落实《条例》和《202</w:t>
      </w: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年</w:t>
      </w:r>
      <w:r>
        <w:rPr>
          <w:rFonts w:hint="eastAsia" w:ascii="仿宋_GB2312" w:hAnsi="仿宋_GB2312" w:cs="仿宋_GB2312"/>
          <w:b w:val="0"/>
          <w:bCs w:val="0"/>
          <w:sz w:val="32"/>
          <w:szCs w:val="32"/>
          <w:lang w:val="en-US" w:eastAsia="zh-CN"/>
        </w:rPr>
        <w:t>阿城</w:t>
      </w:r>
      <w:r>
        <w:rPr>
          <w:rFonts w:hint="eastAsia" w:ascii="仿宋_GB2312" w:hAnsi="仿宋_GB2312" w:eastAsia="仿宋_GB2312" w:cs="仿宋_GB2312"/>
          <w:b w:val="0"/>
          <w:bCs w:val="0"/>
          <w:sz w:val="32"/>
          <w:szCs w:val="32"/>
          <w:lang w:val="en-US" w:eastAsia="zh-CN"/>
        </w:rPr>
        <w:t>区政务公开工作要点》，紧紧围绕社会关注和公众需求，通过</w:t>
      </w:r>
      <w:r>
        <w:rPr>
          <w:rFonts w:hint="eastAsia" w:ascii="仿宋_GB2312" w:hAnsi="仿宋_GB2312" w:cs="仿宋_GB2312"/>
          <w:b w:val="0"/>
          <w:bCs w:val="0"/>
          <w:sz w:val="32"/>
          <w:szCs w:val="32"/>
          <w:lang w:val="en-US" w:eastAsia="zh-CN"/>
        </w:rPr>
        <w:t>阿城</w:t>
      </w:r>
      <w:r>
        <w:rPr>
          <w:rFonts w:hint="eastAsia" w:ascii="仿宋_GB2312" w:hAnsi="仿宋_GB2312" w:eastAsia="仿宋_GB2312" w:cs="仿宋_GB2312"/>
          <w:b w:val="0"/>
          <w:bCs w:val="0"/>
          <w:sz w:val="32"/>
          <w:szCs w:val="32"/>
          <w:lang w:val="en-US" w:eastAsia="zh-CN"/>
        </w:rPr>
        <w:t>区人民政府门户网及黑龙江省政府采购网（</w:t>
      </w:r>
      <w:r>
        <w:rPr>
          <w:rFonts w:hint="eastAsia" w:ascii="仿宋_GB2312" w:hAnsi="仿宋_GB2312" w:cs="仿宋_GB2312"/>
          <w:b w:val="0"/>
          <w:bCs w:val="0"/>
          <w:sz w:val="32"/>
          <w:szCs w:val="32"/>
          <w:lang w:val="en-US" w:eastAsia="zh-CN"/>
        </w:rPr>
        <w:t>阿城</w:t>
      </w:r>
      <w:r>
        <w:rPr>
          <w:rFonts w:hint="eastAsia" w:ascii="仿宋_GB2312" w:hAnsi="仿宋_GB2312" w:eastAsia="仿宋_GB2312" w:cs="仿宋_GB2312"/>
          <w:b w:val="0"/>
          <w:bCs w:val="0"/>
          <w:sz w:val="32"/>
          <w:szCs w:val="32"/>
          <w:lang w:val="en-US" w:eastAsia="zh-CN"/>
        </w:rPr>
        <w:t>）等网站平台，依法依规扎实推进财政预决算信息公开、行政事业性收费项目清单公开、政府集中采购项目目录和限额标准及实施情况公开等政府信息公开工作，切实保障社会公众的知情权、参与权和监督权。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（二）依申请公开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以完善内部制度为抓手，以规范答复文书格式为重点，做好依申请公开接收、登记、办理、答复、归档等各个环节工作，进一步规范依申请文书格式。准确</w:t>
      </w:r>
      <w:r>
        <w:rPr>
          <w:rFonts w:hint="eastAsia" w:ascii="仿宋_GB2312" w:hAnsi="仿宋_GB2312" w:cs="仿宋_GB2312"/>
          <w:b w:val="0"/>
          <w:bCs w:val="0"/>
          <w:sz w:val="32"/>
          <w:szCs w:val="32"/>
          <w:lang w:val="en-US" w:eastAsia="zh-CN"/>
        </w:rPr>
        <w:t>使用</w:t>
      </w:r>
      <w:r>
        <w:rPr>
          <w:rFonts w:hint="eastAsia" w:ascii="仿宋_GB2312" w:hAnsi="仿宋_GB2312" w:eastAsia="仿宋_GB2312" w:cs="仿宋_GB2312"/>
          <w:b w:val="0"/>
          <w:bCs w:val="0"/>
          <w:sz w:val="32"/>
          <w:szCs w:val="32"/>
          <w:lang w:val="en-US" w:eastAsia="zh-CN"/>
        </w:rPr>
        <w:t>依申请公开各项规定，从严把握不予公开范围，对法定不予公开条款坚持最小化使用原则，切实做到以公开为常态、不公开为例外。贯彻执行《条例》，确保依申请公开工作顺利开展。截至2023年12月31日，区财政局未收到依申请公开的案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（三）政府信息管理</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pPr>
      <w:r>
        <w:rPr>
          <w:rFonts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建立和完善了保密审查制度、主动公开工作制度和依申请公开工作制度等，设专人承办政府信息发布，落实分管工作责任制。信息发布前，严格审核内容，确保不发生泄密问题。根据社会各界对统计信息的需求，不断完善信息公开制度，提高信息公开制度的可操作性、规范性和实效性。</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仿宋_GB2312" w:hAnsi="宋体"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pPr>
      <w:r>
        <w:rPr>
          <w:rFonts w:hint="eastAsia" w:ascii="仿宋_GB2312" w:hAnsi="宋体"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（四）政府信息公开平台建设</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加强政府门户网站建设。积极做好</w:t>
      </w:r>
      <w:r>
        <w:rPr>
          <w:rFonts w:hint="eastAsia" w:ascii="仿宋_GB2312" w:hAnsi="宋体" w:cs="仿宋_GB2312"/>
          <w:i w:val="0"/>
          <w:iCs w:val="0"/>
          <w:caps w:val="0"/>
          <w:color w:val="000000" w:themeColor="text1"/>
          <w:spacing w:val="0"/>
          <w:sz w:val="31"/>
          <w:szCs w:val="31"/>
          <w:shd w:val="clear" w:fill="FFFFFF"/>
          <w:lang w:eastAsia="zh-CN"/>
          <w14:textFill>
            <w14:solidFill>
              <w14:schemeClr w14:val="tx1"/>
            </w14:solidFill>
          </w14:textFill>
        </w:rPr>
        <w:t>区财政局</w:t>
      </w:r>
      <w:r>
        <w:rPr>
          <w:rFonts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门户网站政务公开专栏信息内容维护工作，为完善公开信息内容及保证质量，建立多项措施保障政府信息公开平台建设，做到公开及时、信息准确、有效地公开的政府信息，向公众提供方便快捷的服务。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cs="仿宋_GB2312"/>
          <w:b w:val="0"/>
          <w:bCs w:val="0"/>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监督保障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b w:val="0"/>
          <w:bCs w:val="0"/>
          <w:sz w:val="32"/>
          <w:szCs w:val="32"/>
          <w:lang w:val="en-US" w:eastAsia="zh-CN"/>
        </w:rPr>
        <w:t>安排专人负责政务公开工作。完善公开制度，提高公开质量，建立完善政府信息公开机制。强化监督机制，确保公开到位。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tbl>
      <w:tblPr>
        <w:tblStyle w:val="4"/>
        <w:tblW w:w="1133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
      <w:tblGrid>
        <w:gridCol w:w="2730"/>
        <w:gridCol w:w="2797"/>
        <w:gridCol w:w="3012"/>
        <w:gridCol w:w="279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62" w:hRule="atLeast"/>
          <w:jc w:val="center"/>
        </w:trPr>
        <w:tc>
          <w:tcPr>
            <w:tcW w:w="9638" w:type="dxa"/>
            <w:gridSpan w:val="4"/>
            <w:tcBorders>
              <w:tl2br w:val="nil"/>
              <w:tr2bl w:val="nil"/>
            </w:tcBorders>
            <w:shd w:val="clear" w:color="auto" w:fill="99CC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第二十条第（一）项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5" w:hRule="atLeast"/>
          <w:jc w:val="center"/>
        </w:trPr>
        <w:tc>
          <w:tcPr>
            <w:tcW w:w="232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23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Style w:val="6"/>
                <w:lang w:val="en-US" w:eastAsia="zh-CN" w:bidi="ar-SA"/>
              </w:rPr>
              <w:t>本年</w:t>
            </w:r>
            <w:r>
              <w:rPr>
                <w:rStyle w:val="8"/>
                <w:rFonts w:eastAsia="宋体"/>
                <w:lang w:val="en-US" w:eastAsia="zh-CN" w:bidi="ar-SA"/>
              </w:rPr>
              <w:t>制</w:t>
            </w:r>
            <w:r>
              <w:rPr>
                <w:rStyle w:val="6"/>
                <w:lang w:val="en-US" w:eastAsia="zh-CN" w:bidi="ar-SA"/>
              </w:rPr>
              <w:t>发件</w:t>
            </w:r>
            <w:r>
              <w:rPr>
                <w:rStyle w:val="8"/>
                <w:rFonts w:eastAsia="宋体"/>
                <w:lang w:val="en-US" w:eastAsia="zh-CN" w:bidi="ar-SA"/>
              </w:rPr>
              <w:t>数</w:t>
            </w:r>
          </w:p>
        </w:tc>
        <w:tc>
          <w:tcPr>
            <w:tcW w:w="25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本年废止件数</w:t>
            </w:r>
          </w:p>
        </w:tc>
        <w:tc>
          <w:tcPr>
            <w:tcW w:w="23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Style w:val="6"/>
                <w:lang w:val="en-US" w:eastAsia="zh-CN" w:bidi="ar-SA"/>
              </w:rPr>
              <w:t>现行有效件</w:t>
            </w:r>
            <w:r>
              <w:rPr>
                <w:rStyle w:val="8"/>
                <w:rFonts w:eastAsia="宋体"/>
                <w:lang w:val="en-US" w:eastAsia="zh-CN" w:bidi="ar-SA"/>
              </w:rPr>
              <w:t>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5" w:hRule="atLeast"/>
          <w:jc w:val="center"/>
        </w:trPr>
        <w:tc>
          <w:tcPr>
            <w:tcW w:w="232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规章</w:t>
            </w:r>
          </w:p>
        </w:tc>
        <w:tc>
          <w:tcPr>
            <w:tcW w:w="23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25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23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5" w:hRule="atLeast"/>
          <w:jc w:val="center"/>
        </w:trPr>
        <w:tc>
          <w:tcPr>
            <w:tcW w:w="232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行政规范性文件</w:t>
            </w:r>
          </w:p>
        </w:tc>
        <w:tc>
          <w:tcPr>
            <w:tcW w:w="23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eastAsia="zh-CN"/>
              </w:rPr>
              <w:t>0</w:t>
            </w:r>
          </w:p>
        </w:tc>
        <w:tc>
          <w:tcPr>
            <w:tcW w:w="25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237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9638" w:type="dxa"/>
            <w:gridSpan w:val="4"/>
            <w:tcBorders>
              <w:tl2br w:val="nil"/>
              <w:tr2bl w:val="nil"/>
            </w:tcBorders>
            <w:shd w:val="clear" w:color="auto" w:fill="99CC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第二十条第（五）项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232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7317"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本年处理决定数量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232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行政许可</w:t>
            </w:r>
          </w:p>
        </w:tc>
        <w:tc>
          <w:tcPr>
            <w:tcW w:w="7317"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Calibri" w:hAnsi="Calibri" w:eastAsia="等线" w:cs="Calibri"/>
                <w:i w:val="0"/>
                <w:color w:val="000000"/>
                <w:sz w:val="21"/>
                <w:szCs w:val="21"/>
                <w:u w:val="none"/>
                <w:lang w:val="en-US"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9638" w:type="dxa"/>
            <w:gridSpan w:val="4"/>
            <w:tcBorders>
              <w:tl2br w:val="nil"/>
              <w:tr2bl w:val="nil"/>
            </w:tcBorders>
            <w:shd w:val="clear" w:color="auto" w:fill="99CC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第二十条第（六）项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232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7317"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本年处理决定数量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232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行政处罚</w:t>
            </w:r>
          </w:p>
        </w:tc>
        <w:tc>
          <w:tcPr>
            <w:tcW w:w="7317"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232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行政强制</w:t>
            </w:r>
          </w:p>
        </w:tc>
        <w:tc>
          <w:tcPr>
            <w:tcW w:w="7317"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9638" w:type="dxa"/>
            <w:gridSpan w:val="4"/>
            <w:tcBorders>
              <w:tl2br w:val="nil"/>
              <w:tr2bl w:val="nil"/>
            </w:tcBorders>
            <w:shd w:val="clear" w:color="auto" w:fill="99CC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第二十条第（八）项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232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7317"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本年收费金额（单位：万元）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53" w:hRule="atLeast"/>
          <w:jc w:val="center"/>
        </w:trPr>
        <w:tc>
          <w:tcPr>
            <w:tcW w:w="232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行政事业性收费</w:t>
            </w:r>
          </w:p>
        </w:tc>
        <w:tc>
          <w:tcPr>
            <w:tcW w:w="7317"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等线" w:hAnsi="等线" w:eastAsia="等线" w:cs="等线"/>
                <w:i w:val="0"/>
                <w:color w:val="000000"/>
                <w:sz w:val="22"/>
                <w:szCs w:val="22"/>
                <w:u w:val="none"/>
                <w:lang w:eastAsia="zh-CN"/>
              </w:rPr>
            </w:pPr>
            <w:r>
              <w:rPr>
                <w:rFonts w:hint="eastAsia" w:ascii="宋体" w:hAnsi="宋体" w:cs="宋体"/>
                <w:i w:val="0"/>
                <w:color w:val="000000"/>
                <w:sz w:val="20"/>
                <w:szCs w:val="20"/>
                <w:u w:val="none"/>
                <w:lang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4"/>
        <w:tblW w:w="1133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
      <w:tblGrid>
        <w:gridCol w:w="751"/>
        <w:gridCol w:w="1255"/>
        <w:gridCol w:w="2917"/>
        <w:gridCol w:w="973"/>
        <w:gridCol w:w="923"/>
        <w:gridCol w:w="799"/>
        <w:gridCol w:w="953"/>
        <w:gridCol w:w="942"/>
        <w:gridCol w:w="923"/>
        <w:gridCol w:w="90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6" w:hRule="atLeast"/>
          <w:jc w:val="center"/>
        </w:trPr>
        <w:tc>
          <w:tcPr>
            <w:tcW w:w="4923" w:type="dxa"/>
            <w:gridSpan w:val="3"/>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SA"/>
              </w:rPr>
              <w:t>（本列数据的勾稽关系为：第一项加第二项之和，等于第三项加第四项之和）</w:t>
            </w:r>
          </w:p>
        </w:tc>
        <w:tc>
          <w:tcPr>
            <w:tcW w:w="6415" w:type="dxa"/>
            <w:gridSpan w:val="7"/>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申请人情况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6" w:hRule="atLeast"/>
          <w:jc w:val="center"/>
        </w:trPr>
        <w:tc>
          <w:tcPr>
            <w:tcW w:w="4923"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楷体" w:hAnsi="楷体" w:eastAsia="楷体" w:cs="楷体"/>
                <w:i w:val="0"/>
                <w:color w:val="000000"/>
                <w:sz w:val="20"/>
                <w:szCs w:val="20"/>
                <w:u w:val="none"/>
              </w:rPr>
            </w:pPr>
          </w:p>
        </w:tc>
        <w:tc>
          <w:tcPr>
            <w:tcW w:w="97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自然人</w:t>
            </w:r>
          </w:p>
        </w:tc>
        <w:tc>
          <w:tcPr>
            <w:tcW w:w="4540" w:type="dxa"/>
            <w:gridSpan w:val="5"/>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法人或其他组织</w:t>
            </w:r>
          </w:p>
        </w:tc>
        <w:tc>
          <w:tcPr>
            <w:tcW w:w="90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总计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120" w:hRule="atLeast"/>
          <w:jc w:val="center"/>
        </w:trPr>
        <w:tc>
          <w:tcPr>
            <w:tcW w:w="4923" w:type="dxa"/>
            <w:gridSpan w:val="3"/>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楷体" w:hAnsi="楷体" w:eastAsia="楷体" w:cs="楷体"/>
                <w:i w:val="0"/>
                <w:color w:val="000000"/>
                <w:sz w:val="20"/>
                <w:szCs w:val="20"/>
                <w:u w:val="none"/>
              </w:rPr>
            </w:pPr>
          </w:p>
        </w:tc>
        <w:tc>
          <w:tcPr>
            <w:tcW w:w="973"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商业</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企业</w:t>
            </w:r>
          </w:p>
        </w:tc>
        <w:tc>
          <w:tcPr>
            <w:tcW w:w="7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科研</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机构</w:t>
            </w:r>
          </w:p>
        </w:tc>
        <w:tc>
          <w:tcPr>
            <w:tcW w:w="95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社会</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公益</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组织</w:t>
            </w:r>
          </w:p>
        </w:tc>
        <w:tc>
          <w:tcPr>
            <w:tcW w:w="9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法律</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服务</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机构</w:t>
            </w:r>
          </w:p>
        </w:tc>
        <w:tc>
          <w:tcPr>
            <w:tcW w:w="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其他</w:t>
            </w:r>
          </w:p>
        </w:tc>
        <w:tc>
          <w:tcPr>
            <w:tcW w:w="902"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605" w:hRule="atLeast"/>
          <w:jc w:val="center"/>
        </w:trPr>
        <w:tc>
          <w:tcPr>
            <w:tcW w:w="492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一、本年新收政府信息公开申请数量</w:t>
            </w:r>
          </w:p>
        </w:tc>
        <w:tc>
          <w:tcPr>
            <w:tcW w:w="9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90" w:hRule="atLeast"/>
          <w:jc w:val="center"/>
        </w:trPr>
        <w:tc>
          <w:tcPr>
            <w:tcW w:w="492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二、上年结转政府信息公开申请数量</w:t>
            </w:r>
          </w:p>
        </w:tc>
        <w:tc>
          <w:tcPr>
            <w:tcW w:w="9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6" w:hRule="atLeast"/>
          <w:jc w:val="center"/>
        </w:trPr>
        <w:tc>
          <w:tcPr>
            <w:tcW w:w="75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三、本年度办理结果</w:t>
            </w:r>
          </w:p>
        </w:tc>
        <w:tc>
          <w:tcPr>
            <w:tcW w:w="417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（一）予以公开</w:t>
            </w:r>
          </w:p>
        </w:tc>
        <w:tc>
          <w:tcPr>
            <w:tcW w:w="9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751"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417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000000"/>
                <w:sz w:val="20"/>
                <w:szCs w:val="20"/>
                <w:u w:val="none"/>
              </w:rPr>
            </w:pPr>
            <w:r>
              <w:rPr>
                <w:rStyle w:val="9"/>
                <w:lang w:val="en-US" w:eastAsia="zh-CN" w:bidi="ar-SA"/>
              </w:rPr>
              <w:t>（二）部分公开</w:t>
            </w:r>
            <w:r>
              <w:rPr>
                <w:rFonts w:hint="eastAsia" w:ascii="楷体" w:hAnsi="楷体" w:eastAsia="楷体" w:cs="楷体"/>
                <w:i w:val="0"/>
                <w:color w:val="000000"/>
                <w:kern w:val="0"/>
                <w:sz w:val="20"/>
                <w:szCs w:val="20"/>
                <w:u w:val="none"/>
                <w:lang w:val="en-US" w:eastAsia="zh-CN" w:bidi="ar-SA"/>
              </w:rPr>
              <w:t>（区分处理的，只计这一情形，不计其他情形）</w:t>
            </w:r>
          </w:p>
        </w:tc>
        <w:tc>
          <w:tcPr>
            <w:tcW w:w="9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605" w:hRule="atLeast"/>
          <w:jc w:val="center"/>
        </w:trPr>
        <w:tc>
          <w:tcPr>
            <w:tcW w:w="751"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25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（三）不予公开</w:t>
            </w:r>
          </w:p>
        </w:tc>
        <w:tc>
          <w:tcPr>
            <w:tcW w:w="291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1.属于国家秘密</w:t>
            </w:r>
          </w:p>
        </w:tc>
        <w:tc>
          <w:tcPr>
            <w:tcW w:w="9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751"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255"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291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2.其他法律行政法规禁止公开</w:t>
            </w:r>
          </w:p>
        </w:tc>
        <w:tc>
          <w:tcPr>
            <w:tcW w:w="9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751"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255"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291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3.危及“三安全一稳定”</w:t>
            </w:r>
          </w:p>
        </w:tc>
        <w:tc>
          <w:tcPr>
            <w:tcW w:w="9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15" w:hRule="atLeast"/>
          <w:jc w:val="center"/>
        </w:trPr>
        <w:tc>
          <w:tcPr>
            <w:tcW w:w="751"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255"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291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4.保护第三方合法权益</w:t>
            </w:r>
          </w:p>
        </w:tc>
        <w:tc>
          <w:tcPr>
            <w:tcW w:w="9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751"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255"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291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5.属于三类内部事务信息</w:t>
            </w:r>
          </w:p>
        </w:tc>
        <w:tc>
          <w:tcPr>
            <w:tcW w:w="9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751"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255"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291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6.属于四类过程性信息</w:t>
            </w:r>
          </w:p>
        </w:tc>
        <w:tc>
          <w:tcPr>
            <w:tcW w:w="9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5" w:hRule="atLeast"/>
          <w:jc w:val="center"/>
        </w:trPr>
        <w:tc>
          <w:tcPr>
            <w:tcW w:w="751"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255"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291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7.属于行政执法案卷</w:t>
            </w:r>
          </w:p>
        </w:tc>
        <w:tc>
          <w:tcPr>
            <w:tcW w:w="9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5" w:hRule="atLeast"/>
          <w:jc w:val="center"/>
        </w:trPr>
        <w:tc>
          <w:tcPr>
            <w:tcW w:w="751"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255"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291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8.属于行政查询事项</w:t>
            </w:r>
          </w:p>
        </w:tc>
        <w:tc>
          <w:tcPr>
            <w:tcW w:w="9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751"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25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（四）无法提供</w:t>
            </w:r>
          </w:p>
        </w:tc>
        <w:tc>
          <w:tcPr>
            <w:tcW w:w="291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1.本机关不掌握相关政府信息</w:t>
            </w:r>
          </w:p>
        </w:tc>
        <w:tc>
          <w:tcPr>
            <w:tcW w:w="9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751"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255"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291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2.没有现成信息需要另行制作</w:t>
            </w:r>
          </w:p>
        </w:tc>
        <w:tc>
          <w:tcPr>
            <w:tcW w:w="9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751"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255"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291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3.补正后申请内容仍不明确</w:t>
            </w:r>
          </w:p>
        </w:tc>
        <w:tc>
          <w:tcPr>
            <w:tcW w:w="9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751"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25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（五）不予处理</w:t>
            </w:r>
          </w:p>
        </w:tc>
        <w:tc>
          <w:tcPr>
            <w:tcW w:w="291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1.信访举报投诉类申请</w:t>
            </w:r>
          </w:p>
        </w:tc>
        <w:tc>
          <w:tcPr>
            <w:tcW w:w="9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5" w:hRule="atLeast"/>
          <w:jc w:val="center"/>
        </w:trPr>
        <w:tc>
          <w:tcPr>
            <w:tcW w:w="751"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255"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291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2.重复申请</w:t>
            </w:r>
          </w:p>
        </w:tc>
        <w:tc>
          <w:tcPr>
            <w:tcW w:w="9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751"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255"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291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3.要求提供公开出版物</w:t>
            </w:r>
          </w:p>
        </w:tc>
        <w:tc>
          <w:tcPr>
            <w:tcW w:w="9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751"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255"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291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4.无正当理由大量反复申请</w:t>
            </w:r>
          </w:p>
        </w:tc>
        <w:tc>
          <w:tcPr>
            <w:tcW w:w="9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059" w:hRule="atLeast"/>
          <w:jc w:val="center"/>
        </w:trPr>
        <w:tc>
          <w:tcPr>
            <w:tcW w:w="751"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255"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29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5.要求行政机关确认或重新出具已获取信息</w:t>
            </w:r>
          </w:p>
        </w:tc>
        <w:tc>
          <w:tcPr>
            <w:tcW w:w="9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355" w:hRule="atLeast"/>
          <w:jc w:val="center"/>
        </w:trPr>
        <w:tc>
          <w:tcPr>
            <w:tcW w:w="751"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125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（六）其他处理</w:t>
            </w:r>
          </w:p>
        </w:tc>
        <w:tc>
          <w:tcPr>
            <w:tcW w:w="29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1.申请人无正当理由逾期不补正、行政机关不再处理其政府信息公开申请</w:t>
            </w:r>
          </w:p>
        </w:tc>
        <w:tc>
          <w:tcPr>
            <w:tcW w:w="9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613" w:hRule="atLeast"/>
          <w:jc w:val="center"/>
        </w:trPr>
        <w:tc>
          <w:tcPr>
            <w:tcW w:w="751"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255"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29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2.申请人逾期未按收费通知要求缴纳费用、行政机关不再处理其政府信息公开申请</w:t>
            </w:r>
          </w:p>
        </w:tc>
        <w:tc>
          <w:tcPr>
            <w:tcW w:w="9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5" w:hRule="atLeast"/>
          <w:jc w:val="center"/>
        </w:trPr>
        <w:tc>
          <w:tcPr>
            <w:tcW w:w="751"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1255"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29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3.其他</w:t>
            </w:r>
          </w:p>
        </w:tc>
        <w:tc>
          <w:tcPr>
            <w:tcW w:w="9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6" w:hRule="atLeast"/>
          <w:jc w:val="center"/>
        </w:trPr>
        <w:tc>
          <w:tcPr>
            <w:tcW w:w="751"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宋体" w:hAnsi="宋体" w:eastAsia="宋体" w:cs="宋体"/>
                <w:i w:val="0"/>
                <w:color w:val="000000"/>
                <w:sz w:val="20"/>
                <w:szCs w:val="20"/>
                <w:u w:val="none"/>
              </w:rPr>
            </w:pPr>
          </w:p>
        </w:tc>
        <w:tc>
          <w:tcPr>
            <w:tcW w:w="4172"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（七）总计</w:t>
            </w:r>
          </w:p>
        </w:tc>
        <w:tc>
          <w:tcPr>
            <w:tcW w:w="9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677" w:hRule="atLeast"/>
          <w:jc w:val="center"/>
        </w:trPr>
        <w:tc>
          <w:tcPr>
            <w:tcW w:w="492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四、结转下年度继续办理</w:t>
            </w:r>
          </w:p>
        </w:tc>
        <w:tc>
          <w:tcPr>
            <w:tcW w:w="97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4"/>
        <w:tblW w:w="11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6"/>
        <w:gridCol w:w="779"/>
        <w:gridCol w:w="782"/>
        <w:gridCol w:w="785"/>
        <w:gridCol w:w="695"/>
        <w:gridCol w:w="782"/>
        <w:gridCol w:w="781"/>
        <w:gridCol w:w="786"/>
        <w:gridCol w:w="780"/>
        <w:gridCol w:w="782"/>
        <w:gridCol w:w="785"/>
        <w:gridCol w:w="780"/>
        <w:gridCol w:w="742"/>
        <w:gridCol w:w="598"/>
        <w:gridCol w:w="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3177" w:type="dxa"/>
            <w:gridSpan w:val="5"/>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行政复议</w:t>
            </w:r>
          </w:p>
        </w:tc>
        <w:tc>
          <w:tcPr>
            <w:tcW w:w="6461" w:type="dxa"/>
            <w:gridSpan w:val="10"/>
            <w:tcBorders>
              <w:top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592" w:type="dxa"/>
            <w:vMerge w:val="restart"/>
            <w:tcBorders>
              <w:left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维</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持</w:t>
            </w:r>
          </w:p>
        </w:tc>
        <w:tc>
          <w:tcPr>
            <w:tcW w:w="662" w:type="dxa"/>
            <w:vMerge w:val="restart"/>
            <w:tcBorders>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纠</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正</w:t>
            </w:r>
          </w:p>
        </w:tc>
        <w:tc>
          <w:tcPr>
            <w:tcW w:w="665" w:type="dxa"/>
            <w:vMerge w:val="restart"/>
            <w:tcBorders>
              <w:top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其</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他</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果</w:t>
            </w:r>
          </w:p>
        </w:tc>
        <w:tc>
          <w:tcPr>
            <w:tcW w:w="667"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尚</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未</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审</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p>
        </w:tc>
        <w:tc>
          <w:tcPr>
            <w:tcW w:w="591" w:type="dxa"/>
            <w:vMerge w:val="restart"/>
            <w:tcBorders>
              <w:top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总</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计</w:t>
            </w:r>
          </w:p>
        </w:tc>
        <w:tc>
          <w:tcPr>
            <w:tcW w:w="3325" w:type="dxa"/>
            <w:gridSpan w:val="5"/>
            <w:vMerge w:val="restart"/>
            <w:tcBorders>
              <w:top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未经复议直接起诉</w:t>
            </w:r>
          </w:p>
        </w:tc>
        <w:tc>
          <w:tcPr>
            <w:tcW w:w="3136" w:type="dxa"/>
            <w:gridSpan w:val="5"/>
            <w:vMerge w:val="restart"/>
            <w:tcBorders>
              <w:top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592" w:type="dxa"/>
            <w:vMerge w:val="continue"/>
            <w:tcBorders>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2" w:type="dxa"/>
            <w:vMerge w:val="continue"/>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5" w:type="dxa"/>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7"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91" w:type="dxa"/>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3325" w:type="dxa"/>
            <w:gridSpan w:val="5"/>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3136" w:type="dxa"/>
            <w:gridSpan w:val="5"/>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592" w:type="dxa"/>
            <w:vMerge w:val="continue"/>
            <w:tcBorders>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2" w:type="dxa"/>
            <w:vMerge w:val="continue"/>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5" w:type="dxa"/>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7"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91" w:type="dxa"/>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3325" w:type="dxa"/>
            <w:gridSpan w:val="5"/>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3136" w:type="dxa"/>
            <w:gridSpan w:val="5"/>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592" w:type="dxa"/>
            <w:vMerge w:val="continue"/>
            <w:tcBorders>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2" w:type="dxa"/>
            <w:vMerge w:val="continue"/>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5" w:type="dxa"/>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7"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91" w:type="dxa"/>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5"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维</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持</w:t>
            </w:r>
          </w:p>
        </w:tc>
        <w:tc>
          <w:tcPr>
            <w:tcW w:w="664"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纠</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正</w:t>
            </w:r>
          </w:p>
        </w:tc>
        <w:tc>
          <w:tcPr>
            <w:tcW w:w="668"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其</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他</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果 </w:t>
            </w:r>
          </w:p>
        </w:tc>
        <w:tc>
          <w:tcPr>
            <w:tcW w:w="663"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尚</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未</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审</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结 </w:t>
            </w:r>
          </w:p>
        </w:tc>
        <w:tc>
          <w:tcPr>
            <w:tcW w:w="665"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总</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计</w:t>
            </w:r>
          </w:p>
        </w:tc>
        <w:tc>
          <w:tcPr>
            <w:tcW w:w="667"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维</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持</w:t>
            </w:r>
          </w:p>
        </w:tc>
        <w:tc>
          <w:tcPr>
            <w:tcW w:w="663"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纠</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正</w:t>
            </w:r>
          </w:p>
        </w:tc>
        <w:tc>
          <w:tcPr>
            <w:tcW w:w="631"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其</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他</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果</w:t>
            </w:r>
          </w:p>
        </w:tc>
        <w:tc>
          <w:tcPr>
            <w:tcW w:w="508"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尚</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未</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审</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p>
        </w:tc>
        <w:tc>
          <w:tcPr>
            <w:tcW w:w="667" w:type="dxa"/>
            <w:vMerge w:val="restart"/>
            <w:tcBorders>
              <w:top w:val="single" w:color="000000" w:sz="12"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总</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592" w:type="dxa"/>
            <w:vMerge w:val="continue"/>
            <w:tcBorders>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2" w:type="dxa"/>
            <w:vMerge w:val="continue"/>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5" w:type="dxa"/>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7"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91" w:type="dxa"/>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3"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7"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3"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31"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7" w:type="dxa"/>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592" w:type="dxa"/>
            <w:vMerge w:val="continue"/>
            <w:tcBorders>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2" w:type="dxa"/>
            <w:vMerge w:val="continue"/>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5" w:type="dxa"/>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7"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91" w:type="dxa"/>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3"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7"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3"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31"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7" w:type="dxa"/>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592" w:type="dxa"/>
            <w:vMerge w:val="continue"/>
            <w:tcBorders>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2" w:type="dxa"/>
            <w:vMerge w:val="continue"/>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5" w:type="dxa"/>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7"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91" w:type="dxa"/>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4"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3"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5"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7"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3"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31"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c>
          <w:tcPr>
            <w:tcW w:w="667" w:type="dxa"/>
            <w:vMerge w:val="continue"/>
            <w:tcBorders>
              <w:top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1" w:hRule="atLeast"/>
          <w:jc w:val="center"/>
        </w:trPr>
        <w:tc>
          <w:tcPr>
            <w:tcW w:w="592" w:type="dxa"/>
            <w:tcBorders>
              <w:left w:val="single" w:color="000000" w:sz="12" w:space="0"/>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662" w:type="dxa"/>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665" w:type="dxa"/>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667" w:type="dxa"/>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91" w:type="dxa"/>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665" w:type="dxa"/>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664" w:type="dxa"/>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668" w:type="dxa"/>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663" w:type="dxa"/>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665" w:type="dxa"/>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667" w:type="dxa"/>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663" w:type="dxa"/>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631" w:type="dxa"/>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08" w:type="dxa"/>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667" w:type="dxa"/>
            <w:tcBorders>
              <w:bottom w:val="single" w:color="000000" w:sz="12" w:space="0"/>
              <w:right w:val="single" w:color="000000" w:sz="12"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121212"/>
          <w:sz w:val="32"/>
          <w:szCs w:val="32"/>
          <w:lang w:val="en-US" w:eastAsia="zh-CN"/>
        </w:rPr>
      </w:pPr>
      <w:r>
        <w:rPr>
          <w:rFonts w:hint="eastAsia" w:ascii="仿宋_GB2312" w:hAnsi="仿宋_GB2312" w:eastAsia="仿宋_GB2312" w:cs="仿宋_GB2312"/>
          <w:color w:val="121212"/>
          <w:sz w:val="32"/>
          <w:szCs w:val="32"/>
          <w:lang w:val="en-US" w:eastAsia="zh-CN"/>
        </w:rPr>
        <w:t>（一）主要问题：2023年，</w:t>
      </w:r>
      <w:r>
        <w:rPr>
          <w:rFonts w:hint="eastAsia" w:ascii="仿宋_GB2312" w:hAnsi="仿宋_GB2312" w:cs="仿宋_GB2312"/>
          <w:color w:val="121212"/>
          <w:sz w:val="32"/>
          <w:szCs w:val="32"/>
          <w:lang w:val="en-US" w:eastAsia="zh-CN"/>
        </w:rPr>
        <w:t>区</w:t>
      </w:r>
      <w:r>
        <w:rPr>
          <w:rFonts w:hint="eastAsia" w:ascii="仿宋_GB2312" w:hAnsi="仿宋_GB2312" w:eastAsia="仿宋_GB2312" w:cs="仿宋_GB2312"/>
          <w:color w:val="121212"/>
          <w:sz w:val="32"/>
          <w:szCs w:val="32"/>
          <w:lang w:val="en-US" w:eastAsia="zh-CN"/>
        </w:rPr>
        <w:t>财政局虽然能够按照相关规定开展政府信息公开工作，取得了一些成效。但与社会公众的需求相比，依然存在一些问题和差距。</w:t>
      </w:r>
      <w:r>
        <w:rPr>
          <w:rFonts w:hint="eastAsia" w:ascii="仿宋_GB2312" w:hAnsi="仿宋_GB2312" w:cs="仿宋_GB2312"/>
          <w:color w:val="121212"/>
          <w:sz w:val="32"/>
          <w:szCs w:val="32"/>
          <w:lang w:val="en-US" w:eastAsia="zh-CN"/>
        </w:rPr>
        <w:t>一是</w:t>
      </w:r>
      <w:r>
        <w:rPr>
          <w:rFonts w:hint="eastAsia" w:ascii="仿宋_GB2312" w:hAnsi="仿宋_GB2312" w:eastAsia="仿宋_GB2312" w:cs="仿宋_GB2312"/>
          <w:color w:val="121212"/>
          <w:sz w:val="32"/>
          <w:szCs w:val="32"/>
          <w:lang w:val="en-US" w:eastAsia="zh-CN"/>
        </w:rPr>
        <w:t>公开范围需进一步扩大，公开内容需进一步细化；</w:t>
      </w:r>
      <w:r>
        <w:rPr>
          <w:rFonts w:hint="eastAsia" w:ascii="仿宋_GB2312" w:hAnsi="仿宋_GB2312" w:cs="仿宋_GB2312"/>
          <w:color w:val="121212"/>
          <w:sz w:val="32"/>
          <w:szCs w:val="32"/>
          <w:lang w:val="en-US" w:eastAsia="zh-CN"/>
        </w:rPr>
        <w:t>二是</w:t>
      </w:r>
      <w:r>
        <w:rPr>
          <w:rFonts w:hint="eastAsia" w:ascii="仿宋_GB2312" w:hAnsi="仿宋_GB2312" w:eastAsia="仿宋_GB2312" w:cs="仿宋_GB2312"/>
          <w:color w:val="121212"/>
          <w:sz w:val="32"/>
          <w:szCs w:val="32"/>
          <w:lang w:val="en-US" w:eastAsia="zh-CN"/>
        </w:rPr>
        <w:t>部分栏目板块内容有待充实和完善；</w:t>
      </w:r>
      <w:r>
        <w:rPr>
          <w:rFonts w:hint="eastAsia" w:ascii="仿宋_GB2312" w:hAnsi="仿宋_GB2312" w:cs="仿宋_GB2312"/>
          <w:color w:val="121212"/>
          <w:sz w:val="32"/>
          <w:szCs w:val="32"/>
          <w:lang w:val="en-US" w:eastAsia="zh-CN"/>
        </w:rPr>
        <w:t>三是</w:t>
      </w:r>
      <w:r>
        <w:rPr>
          <w:rFonts w:hint="eastAsia" w:ascii="仿宋_GB2312" w:hAnsi="仿宋_GB2312" w:eastAsia="仿宋_GB2312" w:cs="仿宋_GB2312"/>
          <w:color w:val="121212"/>
          <w:sz w:val="32"/>
          <w:szCs w:val="32"/>
          <w:lang w:val="en-US" w:eastAsia="zh-CN"/>
        </w:rPr>
        <w:t>对部分政务公开监督指导力度还比较薄弱，需进一步加以改进。</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121212"/>
          <w:sz w:val="32"/>
          <w:szCs w:val="32"/>
          <w:lang w:val="en-US" w:eastAsia="zh-CN"/>
        </w:rPr>
      </w:pPr>
      <w:r>
        <w:rPr>
          <w:rFonts w:hint="eastAsia" w:ascii="仿宋_GB2312" w:hAnsi="仿宋_GB2312" w:eastAsia="仿宋_GB2312" w:cs="仿宋_GB2312"/>
          <w:color w:val="121212"/>
          <w:sz w:val="32"/>
          <w:szCs w:val="32"/>
          <w:lang w:val="en-US" w:eastAsia="zh-CN"/>
        </w:rPr>
        <w:t>（二）改进情况：2024年，财政局将进一步规范信息公开制度，提高信息公开时效，不断加大信息公开力度。</w:t>
      </w:r>
      <w:r>
        <w:rPr>
          <w:rFonts w:hint="eastAsia" w:ascii="仿宋_GB2312" w:hAnsi="仿宋_GB2312" w:cs="仿宋_GB2312"/>
          <w:color w:val="121212"/>
          <w:sz w:val="32"/>
          <w:szCs w:val="32"/>
          <w:lang w:val="en-US" w:eastAsia="zh-CN"/>
        </w:rPr>
        <w:t>一是</w:t>
      </w:r>
      <w:r>
        <w:rPr>
          <w:rFonts w:hint="eastAsia" w:ascii="仿宋_GB2312" w:hAnsi="仿宋_GB2312" w:eastAsia="仿宋_GB2312" w:cs="仿宋_GB2312"/>
          <w:color w:val="121212"/>
          <w:sz w:val="32"/>
          <w:szCs w:val="32"/>
          <w:lang w:val="en-US" w:eastAsia="zh-CN"/>
        </w:rPr>
        <w:t>不断创新工作方式，丰富公开内容、拓宽公开渠道，扩大公开范围，把社会关注度高、与公众利益密切相关的信息作为突破口，深化政府信息公开内容，使政府信息公开工作再上一个新台阶。</w:t>
      </w:r>
      <w:r>
        <w:rPr>
          <w:rFonts w:hint="eastAsia" w:ascii="仿宋_GB2312" w:hAnsi="仿宋_GB2312" w:cs="仿宋_GB2312"/>
          <w:color w:val="121212"/>
          <w:sz w:val="32"/>
          <w:szCs w:val="32"/>
          <w:lang w:val="en-US" w:eastAsia="zh-CN"/>
        </w:rPr>
        <w:t>二是</w:t>
      </w:r>
      <w:r>
        <w:rPr>
          <w:rFonts w:hint="eastAsia" w:ascii="仿宋_GB2312" w:hAnsi="仿宋_GB2312" w:eastAsia="仿宋_GB2312" w:cs="仿宋_GB2312"/>
          <w:color w:val="121212"/>
          <w:sz w:val="32"/>
          <w:szCs w:val="32"/>
          <w:lang w:val="en-US" w:eastAsia="zh-CN"/>
        </w:rPr>
        <w:t>对信息进行系统深入的梳理和分类，加快信息更新速度，确保信息的及时性、准确性和连贯性。</w:t>
      </w:r>
      <w:r>
        <w:rPr>
          <w:rFonts w:hint="eastAsia" w:ascii="仿宋_GB2312" w:hAnsi="仿宋_GB2312" w:cs="仿宋_GB2312"/>
          <w:color w:val="121212"/>
          <w:sz w:val="32"/>
          <w:szCs w:val="32"/>
          <w:lang w:val="en-US" w:eastAsia="zh-CN"/>
        </w:rPr>
        <w:t>三是</w:t>
      </w:r>
      <w:r>
        <w:rPr>
          <w:rFonts w:hint="eastAsia" w:ascii="仿宋_GB2312" w:hAnsi="仿宋_GB2312" w:eastAsia="仿宋_GB2312" w:cs="仿宋_GB2312"/>
          <w:color w:val="121212"/>
          <w:sz w:val="32"/>
          <w:szCs w:val="32"/>
          <w:lang w:val="en-US" w:eastAsia="zh-CN"/>
        </w:rPr>
        <w:t>加大对政务公开的督促检查力度，实行有效监督，严格责任追究，确保政务公开规范、有序、客观、真实，全面提高</w:t>
      </w:r>
      <w:r>
        <w:rPr>
          <w:rFonts w:hint="eastAsia" w:ascii="仿宋_GB2312" w:hAnsi="仿宋_GB2312" w:cs="仿宋_GB2312"/>
          <w:color w:val="121212"/>
          <w:sz w:val="32"/>
          <w:szCs w:val="32"/>
          <w:lang w:val="en-US" w:eastAsia="zh-CN"/>
        </w:rPr>
        <w:t>区财政局</w:t>
      </w:r>
      <w:r>
        <w:rPr>
          <w:rFonts w:hint="eastAsia" w:ascii="仿宋_GB2312" w:hAnsi="仿宋_GB2312" w:eastAsia="仿宋_GB2312" w:cs="仿宋_GB2312"/>
          <w:color w:val="121212"/>
          <w:sz w:val="32"/>
          <w:szCs w:val="32"/>
          <w:lang w:val="en-US" w:eastAsia="zh-CN"/>
        </w:rPr>
        <w:t>政务公开工作的质量和水平。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121212"/>
          <w:sz w:val="32"/>
          <w:szCs w:val="32"/>
          <w:lang w:val="en-US" w:eastAsia="zh-CN"/>
        </w:rPr>
      </w:pPr>
      <w:r>
        <w:rPr>
          <w:rFonts w:hint="eastAsia" w:ascii="仿宋_GB2312" w:hAnsi="仿宋_GB2312" w:eastAsia="仿宋_GB2312" w:cs="仿宋_GB2312"/>
          <w:color w:val="121212"/>
          <w:sz w:val="32"/>
          <w:szCs w:val="32"/>
          <w:lang w:val="en-US" w:eastAsia="zh-CN"/>
        </w:rPr>
        <w:t>2023年，无涉及《政府信息公开信息处理费管理办法》中规定的收取信息处理费情况。</w:t>
      </w:r>
      <w:bookmarkStart w:id="0" w:name="_GoBack"/>
      <w:bookmarkEnd w:id="0"/>
    </w:p>
    <w:sectPr>
      <w:footerReference r:id="rId3" w:type="default"/>
      <w:footerReference r:id="rId4" w:type="even"/>
      <w:pgSz w:w="11906" w:h="16838"/>
      <w:pgMar w:top="2098" w:right="1474" w:bottom="1984" w:left="1588" w:header="851" w:footer="1400" w:gutter="0"/>
      <w:pgBorders>
        <w:top w:val="none" w:sz="0" w:space="0"/>
        <w:left w:val="none" w:sz="0" w:space="0"/>
        <w:bottom w:val="none" w:sz="0" w:space="0"/>
        <w:right w:val="none" w:sz="0" w:space="0"/>
      </w:pgBorders>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MzFhNDY3YWY2YzI3NzY1ZDFlMDUxZjFlYTc5YTIifQ=="/>
  </w:docVars>
  <w:rsids>
    <w:rsidRoot w:val="48984D55"/>
    <w:rsid w:val="08DF64FD"/>
    <w:rsid w:val="0A1B19C2"/>
    <w:rsid w:val="0E6B25E0"/>
    <w:rsid w:val="11D65074"/>
    <w:rsid w:val="13F54E26"/>
    <w:rsid w:val="16760BC6"/>
    <w:rsid w:val="171F22F9"/>
    <w:rsid w:val="24101808"/>
    <w:rsid w:val="2E6938F5"/>
    <w:rsid w:val="2EE47370"/>
    <w:rsid w:val="3F572776"/>
    <w:rsid w:val="48984D55"/>
    <w:rsid w:val="54D356B8"/>
    <w:rsid w:val="595219A0"/>
    <w:rsid w:val="59DC09C9"/>
    <w:rsid w:val="5DAA42F1"/>
    <w:rsid w:val="62437CF0"/>
    <w:rsid w:val="64656A2B"/>
    <w:rsid w:val="69260270"/>
    <w:rsid w:val="6A740018"/>
    <w:rsid w:val="6C5A4A4C"/>
    <w:rsid w:val="75CA2B92"/>
    <w:rsid w:val="7D7D24CF"/>
    <w:rsid w:val="7FB9D915"/>
    <w:rsid w:val="B7FE9906"/>
    <w:rsid w:val="BFFED77A"/>
    <w:rsid w:val="E5FFC216"/>
    <w:rsid w:val="FBFFE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customStyle="1" w:styleId="6">
    <w:name w:val="font21"/>
    <w:basedOn w:val="5"/>
    <w:qFormat/>
    <w:uiPriority w:val="0"/>
    <w:rPr>
      <w:rFonts w:hint="eastAsia" w:ascii="宋体" w:hAnsi="宋体" w:eastAsia="宋体" w:cs="宋体"/>
      <w:color w:val="000000"/>
      <w:sz w:val="20"/>
      <w:szCs w:val="20"/>
      <w:u w:val="none"/>
    </w:rPr>
  </w:style>
  <w:style w:type="paragraph" w:customStyle="1" w:styleId="7">
    <w:name w:val="Char"/>
    <w:basedOn w:val="1"/>
    <w:qFormat/>
    <w:uiPriority w:val="0"/>
    <w:pPr>
      <w:tabs>
        <w:tab w:val="left" w:pos="360"/>
      </w:tabs>
    </w:pPr>
    <w:rPr>
      <w:sz w:val="24"/>
    </w:rPr>
  </w:style>
  <w:style w:type="character" w:customStyle="1" w:styleId="8">
    <w:name w:val="font01"/>
    <w:basedOn w:val="5"/>
    <w:qFormat/>
    <w:uiPriority w:val="0"/>
    <w:rPr>
      <w:rFonts w:ascii="Calibri" w:hAnsi="Calibri" w:cs="Calibri"/>
      <w:color w:val="000000"/>
      <w:sz w:val="20"/>
      <w:szCs w:val="20"/>
      <w:u w:val="none"/>
    </w:rPr>
  </w:style>
  <w:style w:type="character" w:customStyle="1" w:styleId="9">
    <w:name w:val="font1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1811</Words>
  <Characters>1909</Characters>
  <Lines>0</Lines>
  <Paragraphs>0</Paragraphs>
  <TotalTime>0</TotalTime>
  <ScaleCrop>false</ScaleCrop>
  <LinksUpToDate>false</LinksUpToDate>
  <CharactersWithSpaces>1959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2022-12-30T18:04:00Z</dcterms:created>
  <dc:creator>大承将军</dc:creator>
  <cp:lastModifiedBy>greatwall</cp:lastModifiedBy>
  <cp:lastPrinted>2024-01-16T19:00:00Z</cp:lastPrinted>
  <dcterms:modified xsi:type="dcterms:W3CDTF">2024-02-05T10:36:41Z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1A57490D9B4F453CBBDC0A391EF96554_13</vt:lpwstr>
  </property>
</Properties>
</file>