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阿城区农业农村局2023年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上京大道路66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0451-53735472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年，通过政府门户网站、微信公众号和新闻媒体等为主要公开平台和渠道，向社会公众公开行政许可处理决定数量</w:t>
      </w:r>
      <w:r>
        <w:rPr>
          <w:rFonts w:hint="eastAsia" w:ascii="仿宋_GB2312" w:hAnsi="仿宋_GB2312" w:eastAsia="仿宋_GB2312" w:cs="仿宋_GB2312"/>
          <w:lang w:val="en-US" w:eastAsia="zh-CN"/>
        </w:rPr>
        <w:t>743</w:t>
      </w:r>
      <w:r>
        <w:rPr>
          <w:rFonts w:hint="eastAsia" w:ascii="仿宋_GB2312" w:hAnsi="仿宋_GB2312" w:eastAsia="仿宋_GB2312" w:cs="仿宋_GB2312"/>
        </w:rPr>
        <w:t>条；行政处罚处理决定数量</w:t>
      </w:r>
      <w:r>
        <w:rPr>
          <w:rFonts w:hint="eastAsia" w:ascii="仿宋_GB2312" w:hAnsi="仿宋_GB2312" w:eastAsia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条；行政强制处理决定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项；行政事业性收费</w:t>
      </w:r>
      <w:r>
        <w:rPr>
          <w:rFonts w:hint="eastAsia" w:ascii="仿宋_GB2312" w:hAnsi="仿宋_GB2312" w:eastAsia="仿宋_GB2312" w:cs="仿宋_GB2312"/>
          <w:lang w:val="en-US" w:eastAsia="zh-CN"/>
        </w:rPr>
        <w:t>3.522万元</w:t>
      </w:r>
      <w:r>
        <w:rPr>
          <w:rFonts w:hint="eastAsia" w:ascii="仿宋_GB2312" w:hAnsi="仿宋_GB2312" w:eastAsia="仿宋_GB2312" w:cs="仿宋_GB2312"/>
        </w:rPr>
        <w:t>。没有政府信息公开行政复议、行政诉讼情况。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年，</w:t>
      </w:r>
      <w:r>
        <w:rPr>
          <w:rFonts w:hint="eastAsia" w:ascii="仿宋_GB2312" w:hAnsi="仿宋_GB2312" w:eastAsia="仿宋_GB2312" w:cs="仿宋_GB2312"/>
          <w:lang w:eastAsia="zh-CN"/>
        </w:rPr>
        <w:t>阿城</w:t>
      </w:r>
      <w:r>
        <w:rPr>
          <w:rFonts w:hint="eastAsia" w:ascii="仿宋_GB2312" w:hAnsi="仿宋_GB2312" w:eastAsia="仿宋_GB2312" w:cs="仿宋_GB2312"/>
        </w:rPr>
        <w:t>区农业农村局未收到单位和个人要求办理政府信息依申请公开事项，无不予公开政府信息情况。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严格依照市农业农村局、区政府办公室关于政府信息公开工作的部署，结合“三农”年度工作重点，落实“三农”领域政务公开各项工作。进一步健全政府信息发布机制，严格执行信息发布制度，确保信息真实性、准确性和权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33333"/>
          <w:spacing w:val="0"/>
          <w:sz w:val="32"/>
          <w:szCs w:val="32"/>
          <w:highlight w:val="none"/>
          <w:shd w:val="clear" w:fill="FFFFFF"/>
        </w:rPr>
        <w:t>坚持从群众普遍关心和关系群众切身利益的问题入手，加强组织领导，规范工作流程，强化制度机制建设，完善信息发布渠道，提升主动公开意识，着力推进农业农村局全方位的信息公开。围绕行政案件处罚和行政许可审批事项，坚持以公开为常态，不公开为例外，切实提高信息公开实效，有力推动了信息公开透明度，取得了良好效果，信息公开工作得到了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highlight w:val="none"/>
          <w:shd w:val="clear" w:fill="FFFFFF"/>
        </w:rPr>
        <w:t>做好监督保障工作。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highlight w:val="none"/>
          <w:u w:val="none"/>
          <w:shd w:val="clear" w:fill="FFFFFF"/>
        </w:rPr>
        <w:t>为强化政府信息公开制度监督管理，区农业农村局成立了政务公开工作领导小组，党组书记、局长任组长，副局长为副组长，各相关科室负责人为小组成员，由局办公室统筹协调政务公开工作。严格落实审核制度，由相关科室报局分管领导和局主要负责人审核同意后才可上网公开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highlight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shd w:val="clear" w:fill="FFFFFF"/>
        </w:rPr>
        <w:t>逐级落实责任，做到主要负责人亲自过问，分管负责人直接负责，申请信息公开科室、站办为责任主体。不断完善信息公开保密审查制度，对政府公开信息审核、信息编辑、信息发布做出明确要求，做到政务信息能公开的及时公开，不能公开的不予公开。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通过监督电话、电子邮箱、邮件等形式，健全网上留言建议、投诉、信访等渠道，加强公众互动，接受社会评议，自觉接受检查。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shd w:val="clear" w:fill="FFFFFF"/>
        </w:rPr>
        <w:t>对网上公开信息及时更新，对发现的问题及时整改。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2023年未发生政府信息公开工作责任追究情况。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  <w:lang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</w:rPr>
        <w:t>政府信息公开工作稳步推进，取得了一定成效，但对照群众期待还有待于提高。一是政策解读质量有待于提高，目前政策解读形式还有局限性，在利用视频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等多种形式解读方面，还需进一步加强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  <w:lang w:val="en-US" w:eastAsia="zh-CN"/>
        </w:rPr>
        <w:t>；二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是公开的信息内容还比较单一，需进一步充实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</w:rPr>
        <w:t>一是提升政策解读质效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  <w:lang w:eastAsia="zh-CN"/>
        </w:rPr>
        <w:t>，增加多种解读形式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shd w:val="clear" w:fill="FFFFFF"/>
        </w:rPr>
        <w:t>，完善解读要素，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增加部门和主要领导解读，媒体解读，视频解读等多种解读形式。特别强化社会关注度高的重大政策的解读，并主动回应群众关切的问题</w:t>
      </w:r>
      <w:r>
        <w:rPr>
          <w:rFonts w:hint="eastAsia" w:ascii="仿宋_GB2312" w:hAnsi="仿宋_GB2312" w:eastAsia="仿宋_GB2312" w:cs="仿宋_GB2312"/>
          <w:i w:val="0"/>
          <w:iCs w:val="0"/>
          <w:color w:val="030303"/>
          <w:spacing w:val="0"/>
          <w:sz w:val="32"/>
          <w:szCs w:val="32"/>
          <w:shd w:val="clear" w:fill="FFFFFF"/>
        </w:rPr>
        <w:t>，努力把政务公开平台打造成便民利民的信息获取渠道；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二是不断丰富信息公开内容</w:t>
      </w:r>
      <w:r>
        <w:rPr>
          <w:rFonts w:hint="eastAsia" w:ascii="仿宋_GB2312" w:hAnsi="仿宋_GB2312" w:cs="仿宋_GB2312"/>
          <w:i w:val="0"/>
          <w:color w:val="030303"/>
          <w:spacing w:val="0"/>
          <w:sz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u w:val="none"/>
          <w:shd w:val="clear" w:fill="FFFFFF"/>
        </w:rPr>
        <w:t>及时主动公开事关群众利益的政府信息。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olor w:val="030303"/>
          <w:spacing w:val="0"/>
          <w:sz w:val="32"/>
          <w:shd w:val="clear" w:fill="FFFFFF"/>
          <w:lang w:val="en-US" w:eastAsia="zh-CN"/>
        </w:rPr>
        <w:t>2023年，无涉及《政府信息公开信息处理费管理办法》中规定的收取信息处理费情况。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In3a/TAAAABQEAAA8AAAAA&#10;AAAAAQAgAAAAOAAAAGRycy9kb3ducmV2LnhtbFBLAQIUABQAAAAIAIdO4kBUghEKygEAAH0DAAAO&#10;AAAAAAAAAAEAIAAAADg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ifdr9MAAAAFAQAADwAA&#10;AAAAAAABACAAAAA4AAAAZHJzL2Rvd25yZXYueG1sUEsBAhQAFAAAAAgAh07iQLlwObDMAQAAfQMA&#10;AA4AAAAAAAAAAQAgAAAAOAEAAGRycy9lMm9Eb2MueG1sUEsFBgAAAAAGAAYAWQEAAHY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F7DA76"/>
    <w:multiLevelType w:val="singleLevel"/>
    <w:tmpl w:val="FBF7DA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171F22F9"/>
    <w:rsid w:val="1BC6E5CA"/>
    <w:rsid w:val="1DF32105"/>
    <w:rsid w:val="2E6938F5"/>
    <w:rsid w:val="30B47433"/>
    <w:rsid w:val="372133B7"/>
    <w:rsid w:val="48984D55"/>
    <w:rsid w:val="4E712C51"/>
    <w:rsid w:val="54A05375"/>
    <w:rsid w:val="59DC09C9"/>
    <w:rsid w:val="62437CF0"/>
    <w:rsid w:val="65BDB65C"/>
    <w:rsid w:val="69260270"/>
    <w:rsid w:val="72366F27"/>
    <w:rsid w:val="9DBC6CCE"/>
    <w:rsid w:val="BA9E679C"/>
    <w:rsid w:val="E03DE056"/>
    <w:rsid w:val="EFF7D7BF"/>
    <w:rsid w:val="F5FF2911"/>
    <w:rsid w:val="F777934A"/>
    <w:rsid w:val="F7ED0C9F"/>
    <w:rsid w:val="FEB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2022-12-31T02:04:00Z</dcterms:created>
  <dc:creator>大承将军</dc:creator>
  <cp:lastModifiedBy>greatwall</cp:lastModifiedBy>
  <dcterms:modified xsi:type="dcterms:W3CDTF">2024-02-05T14:50:36Z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EC5AB343421C44A9B960CFF6FB39D178_13</vt:lpwstr>
  </property>
</Properties>
</file>