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阿城区松峰山镇人民政府2022年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松峰山镇人民政府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松峰山镇人民政府办公室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松峰山镇松峰大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街；邮编：1503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0451-53831266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松峰山镇人民政府严格按照《条例》和《通知》要求开展工作，有效推动政府信息准确及时公开，确保政府信息公开工作规范化、常态化运行。充分发挥政府门户网站的作用，凡涉及到公共利益、公众利益和社会关切急需社会广泛知晓的事项，都主动公开，公开内容更加贴近人民生产生活，更好地服务于民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情况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松峰山镇人民政府按照《条例》规定，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主动在阿城区政府门户网站公开了领导简介、政府机构、工作职能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、机关简介、政府信息公开年报</w:t>
      </w:r>
      <w:r>
        <w:rPr>
          <w:rFonts w:hint="eastAsia" w:ascii="仿宋_GB2312" w:hAnsi="仿宋_GB2312" w:eastAsia="仿宋_GB2312" w:cs="仿宋_GB2312"/>
          <w:sz w:val="32"/>
          <w:szCs w:val="32"/>
        </w:rPr>
        <w:t>等政府信息。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所有信息公开全部为主动公开。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依申请公开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情况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年，松峰山镇人民政府收到依申请需要公开的信息0件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收到政府信息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行政复议、行政诉讼案件0件。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政府信息管理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情况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松峰山镇严格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信息发布审核制度，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强化保密管理，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按照信息公开程序、信息报送及审查备案制度发布信息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，严格把好政务公开内容和项目关。所有需要公开的政务信息都要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坚持分级分类审核，先审核后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一事一审，防止该公开的不公开，不该公开的乱公开，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坚决杜绝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因信息公开发生泄密事件及</w:t>
      </w:r>
      <w:r>
        <w:rPr>
          <w:rFonts w:hint="eastAsia" w:ascii="仿宋_GB2312" w:hAnsi="仿宋_GB2312" w:eastAsia="仿宋_GB2312" w:cs="仿宋_GB2312"/>
          <w:sz w:val="32"/>
          <w:szCs w:val="32"/>
        </w:rPr>
        <w:t>因信息内容不当和网络安全等引发负面舆情。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政府信息公开平台建设情况</w:t>
      </w:r>
    </w:p>
    <w:p>
      <w:pPr>
        <w:numPr>
          <w:ilvl w:val="0"/>
          <w:numId w:val="0"/>
        </w:numPr>
        <w:spacing w:line="560" w:lineRule="exact"/>
        <w:ind w:firstLine="63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松峰山镇以阿城区政府网站进行政府信息公开，及时完善信息公开管理机制，优化政府信息公开流程，确保信息公开内容严谨全面、及时规范。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监督保障情况</w:t>
      </w:r>
    </w:p>
    <w:p>
      <w:pPr>
        <w:numPr>
          <w:ilvl w:val="0"/>
          <w:numId w:val="0"/>
        </w:num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加强政务公开工作的日常检查，结合我镇政务公开工作实际，每个月开展一次工作自查、检查，梳理每项公开信息更新情况，需要更新的及时更新，切实将政务公开工作落到实处。加大政务公开业务的培训力度，不断提高工作人员业务能力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（一）主要问题：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政务公开组织建设需要加强，一直以来都是由镇政府办负责出此项工作，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人员也是兼职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，工作人员专业性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专业性不强，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（二）改进情况：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加强政府信息公开工作的领导和监督，充分认识政府信息公开工作的重要性，规范和完善公开内容、形式，及时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准确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配备专职人员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积极开展学习培训、经验交流等活动，不断提高业务能力和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水平，促进政府信息公开工作稳步提升。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本年度无信息处理费情况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4DD303"/>
    <w:multiLevelType w:val="singleLevel"/>
    <w:tmpl w:val="C74DD303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48984D55"/>
    <w:rsid w:val="04067474"/>
    <w:rsid w:val="0CDD0330"/>
    <w:rsid w:val="0EE111E9"/>
    <w:rsid w:val="18836207"/>
    <w:rsid w:val="201A3A2E"/>
    <w:rsid w:val="22B83F8C"/>
    <w:rsid w:val="23627177"/>
    <w:rsid w:val="3A506637"/>
    <w:rsid w:val="48984D55"/>
    <w:rsid w:val="59AC1A96"/>
    <w:rsid w:val="5BEF4D35"/>
    <w:rsid w:val="666D3F56"/>
    <w:rsid w:val="6C76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2169</Words>
  <Characters>2256</Characters>
  <Lines>0</Lines>
  <Paragraphs>0</Paragraphs>
  <TotalTime>4</TotalTime>
  <ScaleCrop>false</ScaleCrop>
  <LinksUpToDate>false</LinksUpToDate>
  <CharactersWithSpaces>2300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WPS_1591198199</cp:lastModifiedBy>
  <dcterms:modified xsi:type="dcterms:W3CDTF">2023-02-02T06:23:23Z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6B6C2CE5D95B42569D15F80166C29702</vt:lpwstr>
  </property>
</Properties>
</file>