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哈尔滨市阿城区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双丰街道办事处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2022年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政府信息公开工作年度报告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本报告由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双丰街道办事处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《中华人民共和国政府信息公开条例》（以下简称《条例》）的规定和国务院、省、市政府的工作部署编制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2022年1月1日至2022年12月31日截止。本报告全面客观的反映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双丰街道办事处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请联系双丰街道办事处，地址：阿城区双丰街道双兰大街57号；邮编：150313；联系电话：0451-53801423）。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一、总体情况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 w:line="555" w:lineRule="atLeast"/>
        <w:ind w:right="0" w:firstLine="620" w:firstLineChars="200"/>
        <w:jc w:val="left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</w:rPr>
      </w:pPr>
      <w:bookmarkStart w:id="0" w:name="_GoBack"/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2022年，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阿城区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090000" w:fill="FFFFFF"/>
          <w:lang w:eastAsia="zh-CN"/>
        </w:rPr>
        <w:t>双丰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090000" w:fill="FFFFFF"/>
        </w:rPr>
        <w:t>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090000" w:fill="FFFFFF"/>
          <w:lang w:eastAsia="zh-CN"/>
        </w:rPr>
        <w:t>道办事处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090000" w:fill="FFFFFF"/>
        </w:rPr>
        <w:t>把推进政府信息公开工作作为加强街道自身建设、促进依法行政的一项重要举措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090000" w:fill="FFFFFF"/>
          <w:lang w:eastAsia="zh-CN"/>
        </w:rPr>
        <w:t>，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以习近平新时代中国特色社会主义思想为指导，认真落实政府信息公开工作要求，加强门户网站栏目内容建设，充分运用门户网站、新闻媒体、报刊年鉴等形式，积极推动政府信息公开工作全面深入开展。以公开促规范，以公开促服务，切实保障人民群众的知情权、参与权、表达权和监督权，提供详实准确资讯，进一步提高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双丰街信息公开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工作的透明度和公信力。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1"/>
          <w:szCs w:val="31"/>
          <w:shd w:val="clear" w:fill="FFFFFF"/>
        </w:rPr>
        <w:t>（一）主动公开方面。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我街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坚持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以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公开为常态、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以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不公开为例外的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准则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，全面贯彻执行《中华人民共和国政府信息公开条例》，遵循公平、公正、合法、便民的宗旨，将政务公开工作与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我街中心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工作相结合，以提高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服务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透明度、方便群众获取信息为目的，2022年政务公开重点工作任务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是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全力推进决策、执行、管理、服务、结果公开工作。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1"/>
          <w:szCs w:val="31"/>
          <w:shd w:val="clear" w:fill="FFFFFF"/>
        </w:rPr>
        <w:t>（二）依申请公开方面。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2022年度，阿城区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双丰街道办事处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未收到和处理政府信息公开申请，零报告。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1"/>
          <w:szCs w:val="31"/>
          <w:shd w:val="clear" w:fill="FFFFFF"/>
        </w:rPr>
        <w:t>（三）政府信息管理方面。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2022年度，阿城区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双丰街道办事处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未收到和处理政府信息公开申请，零报告。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7"/>
          <w:szCs w:val="27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1"/>
          <w:szCs w:val="31"/>
          <w:shd w:val="clear" w:fill="FFFFFF"/>
        </w:rPr>
        <w:t>（四）政府信息公开平台建设方面。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2022年度，阿城区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双丰街道办事处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依法做好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农业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政策以及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其他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服务宣传的发布工作，及时向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我街群众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提供相应材料，持续优化营商环境。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1"/>
          <w:szCs w:val="31"/>
          <w:shd w:val="clear" w:fill="FFFFFF"/>
        </w:rPr>
        <w:t>（五）监督保障方面。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阿城区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双丰街道办事处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</w:rPr>
        <w:t>全体职工认真落实意识形态工作责任制，牢牢把握正确舆论导向，自觉接受党的领导，努力做到防微杜渐，警钟长鸣，严格执行相关规定，坚决杜绝利用政务新媒体危害税收事业的情况发生，全力推进政府信息公开工作有序开展。</w:t>
      </w:r>
    </w:p>
    <w:bookmarkEnd w:id="0"/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2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8"/>
        <w:gridCol w:w="1801"/>
        <w:gridCol w:w="1939"/>
        <w:gridCol w:w="2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8227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2"/>
                <w:color w:val="auto"/>
                <w:lang w:val="en-US" w:eastAsia="zh-CN" w:bidi="ar-SA"/>
              </w:rPr>
              <w:t>本年</w:t>
            </w:r>
            <w:r>
              <w:rPr>
                <w:rStyle w:val="13"/>
                <w:rFonts w:eastAsia="宋体"/>
                <w:color w:val="auto"/>
                <w:lang w:val="en-US" w:eastAsia="zh-CN" w:bidi="ar-SA"/>
              </w:rPr>
              <w:t>制</w:t>
            </w:r>
            <w:r>
              <w:rPr>
                <w:rStyle w:val="12"/>
                <w:color w:val="auto"/>
                <w:lang w:val="en-US" w:eastAsia="zh-CN" w:bidi="ar-SA"/>
              </w:rPr>
              <w:t>发件</w:t>
            </w:r>
            <w:r>
              <w:rPr>
                <w:rStyle w:val="13"/>
                <w:rFonts w:eastAsia="宋体"/>
                <w:color w:val="auto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2"/>
                <w:color w:val="auto"/>
                <w:lang w:val="en-US" w:eastAsia="zh-CN" w:bidi="ar-SA"/>
              </w:rPr>
              <w:t>现行有效件</w:t>
            </w:r>
            <w:r>
              <w:rPr>
                <w:rStyle w:val="13"/>
                <w:rFonts w:eastAsia="宋体"/>
                <w:color w:val="auto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7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227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227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8227" w:type="dxa"/>
            <w:gridSpan w:val="4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64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三、</w:t>
      </w:r>
      <w:r>
        <w:rPr>
          <w:rFonts w:ascii="黑体" w:hAnsi="宋体" w:eastAsia="黑体" w:cs="黑体"/>
          <w:i w:val="0"/>
          <w:caps w:val="0"/>
          <w:color w:val="auto"/>
          <w:spacing w:val="0"/>
          <w:sz w:val="31"/>
          <w:szCs w:val="31"/>
          <w:shd w:val="clear" w:fill="FFFFFF"/>
        </w:rPr>
        <w:t>收到和处理政府信息公开申请情况</w:t>
      </w:r>
    </w:p>
    <w:tbl>
      <w:tblPr>
        <w:tblStyle w:val="5"/>
        <w:tblW w:w="81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810"/>
        <w:gridCol w:w="2977"/>
        <w:gridCol w:w="315"/>
        <w:gridCol w:w="450"/>
        <w:gridCol w:w="495"/>
        <w:gridCol w:w="645"/>
        <w:gridCol w:w="585"/>
        <w:gridCol w:w="345"/>
        <w:gridCol w:w="1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  <w:jc w:val="center"/>
        </w:trPr>
        <w:tc>
          <w:tcPr>
            <w:tcW w:w="4272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3917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  <w:jc w:val="center"/>
        </w:trPr>
        <w:tc>
          <w:tcPr>
            <w:tcW w:w="4272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520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10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  <w:jc w:val="center"/>
        </w:trPr>
        <w:tc>
          <w:tcPr>
            <w:tcW w:w="4272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58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34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10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272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4272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三、本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78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8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4"/>
                <w:color w:val="auto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（三）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不予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公开</w:t>
            </w: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exac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（四）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无法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提供</w:t>
            </w: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（五）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不予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处理</w:t>
            </w: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（六）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处理</w:t>
            </w: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87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" w:hRule="atLeast"/>
          <w:jc w:val="center"/>
        </w:trPr>
        <w:tc>
          <w:tcPr>
            <w:tcW w:w="4272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31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0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5"/>
        <w:tblW w:w="8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3"/>
        <w:gridCol w:w="506"/>
        <w:gridCol w:w="508"/>
        <w:gridCol w:w="509"/>
        <w:gridCol w:w="451"/>
        <w:gridCol w:w="508"/>
        <w:gridCol w:w="507"/>
        <w:gridCol w:w="510"/>
        <w:gridCol w:w="500"/>
        <w:gridCol w:w="750"/>
        <w:gridCol w:w="570"/>
        <w:gridCol w:w="540"/>
        <w:gridCol w:w="495"/>
        <w:gridCol w:w="525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5650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775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875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75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75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875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7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7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2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74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32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shd w:val="clear" w:color="090000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（一）主要问题：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90000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90000" w:fill="FFFFFF"/>
        </w:rPr>
        <w:t>年，我街道政府信息公开工作在取得新进展的同时，仍存在着一些亟待解决的问题，一是公开信息的时效性不够强，由于牵涉部门广，人员调整调动以及其他原因，各项信息公开不够及时、全面；二是主动公开政府信息的数量还需要增加，公开的内容需要进一步细化；三是因民众对该项工作的认知意识较为淡薄，对有关公开信息的查询途径尚不被基层群众所熟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 w:firstLine="320" w:firstLineChars="1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090000" w:fill="FFFFFF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（二）改进情况：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90000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90000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90000" w:fill="FFFFFF"/>
        </w:rPr>
        <w:t>年，我街道将继续加强信息公开工作，加大主动公开力度，依法妥善做好依申请公开工作。重点做好以下工作：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90000" w:fill="FFFFFF"/>
        </w:rPr>
        <w:t>一是加强信息公开负责部门与机关各办之间的联系，及时将各办生成的信息发布到网上，尽量做到信息生成与发布保持同步；二是进一步解放思想，扩大信息公开的范围；三是加大对信息公开工作的宣传力度，使社会公众对这项工作有进一步的了解和更深的认识，引导公众正确使用信息公开这种新兴的政府服务职能，为自己的生活、工作提供便利。另外，多渠道、多维度公开信息，除了在政府门户网站公开信息外，还通过电视台、APP手机客户端、微信公众号等渠道公开相关信息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本年度无信息处理费情况。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701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9147" w:y="15083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2"/>
      <w:ind w:left="-448" w:right="-33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21" w:h="357" w:hRule="exact" w:wrap="around" w:vAnchor="page" w:hAnchor="page" w:x="1849" w:y="15083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t xml:space="preserve">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Style w:val="8"/>
        <w:sz w:val="28"/>
      </w:rPr>
      <w:t xml:space="preserve"> </w:t>
    </w:r>
    <w:r>
      <w:rPr>
        <w:rStyle w:val="8"/>
        <w:rFonts w:hint="eastAsia"/>
        <w:sz w:val="28"/>
      </w:rPr>
      <w:t>—</w:t>
    </w:r>
  </w:p>
  <w:p>
    <w:pPr>
      <w:pStyle w:val="2"/>
      <w:ind w:right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right" w:pos="10605"/>
        <w:tab w:val="clear" w:pos="8306"/>
      </w:tabs>
      <w:ind w:right="24"/>
      <w:rPr>
        <w:color w:val="FFFFFF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00000000"/>
    <w:rsid w:val="0B6A660A"/>
    <w:rsid w:val="0D994E6E"/>
    <w:rsid w:val="0DBC46E6"/>
    <w:rsid w:val="1431772A"/>
    <w:rsid w:val="2ACB457B"/>
    <w:rsid w:val="43951AD1"/>
    <w:rsid w:val="46601578"/>
    <w:rsid w:val="56C6656E"/>
    <w:rsid w:val="62C84D59"/>
    <w:rsid w:val="6E597E3B"/>
    <w:rsid w:val="6EA66D46"/>
    <w:rsid w:val="6F612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4D4D4D"/>
      <w:u w:val="none"/>
    </w:rPr>
  </w:style>
  <w:style w:type="character" w:styleId="10">
    <w:name w:val="Hyperlink"/>
    <w:basedOn w:val="6"/>
    <w:qFormat/>
    <w:uiPriority w:val="0"/>
    <w:rPr>
      <w:color w:val="4D4D4D"/>
      <w:u w:val="none"/>
    </w:rPr>
  </w:style>
  <w:style w:type="paragraph" w:customStyle="1" w:styleId="11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eastAsia="仿宋_GB2312"/>
      <w:sz w:val="32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2373</Words>
  <Characters>2471</Characters>
  <Lines>0</Lines>
  <Paragraphs>0</Paragraphs>
  <TotalTime>13</TotalTime>
  <ScaleCrop>false</ScaleCrop>
  <LinksUpToDate>false</LinksUpToDate>
  <CharactersWithSpaces>2501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2022-01-07T07:00:00Z</dcterms:created>
  <dc:creator>Administrator</dc:creator>
  <cp:lastModifiedBy>WPS_1591198199</cp:lastModifiedBy>
  <cp:lastPrinted>2023-01-09T01:51:00Z</cp:lastPrinted>
  <dcterms:modified xsi:type="dcterms:W3CDTF">2023-02-03T06:37:44Z</dcterms:modified>
  <dc:title>哈尔滨市阿城区双丰街道办事处2021年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AC324DEAE19448B38A66A7D590643FAE</vt:lpwstr>
  </property>
</Properties>
</file>