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哈尔滨市阿城区</w:t>
      </w:r>
      <w:r>
        <w:rPr>
          <w:rFonts w:hint="eastAsia" w:ascii="方正小标宋简体" w:hAnsi="方正小标宋简体" w:eastAsia="方正小标宋简体" w:cs="方正小标宋简体"/>
          <w:sz w:val="44"/>
          <w:szCs w:val="44"/>
          <w:lang w:eastAsia="zh-CN"/>
        </w:rPr>
        <w:t>通城</w:t>
      </w:r>
      <w:r>
        <w:rPr>
          <w:rFonts w:hint="eastAsia" w:ascii="方正小标宋简体" w:hAnsi="方正小标宋简体" w:eastAsia="方正小标宋简体" w:cs="方正小标宋简体"/>
          <w:sz w:val="44"/>
          <w:szCs w:val="44"/>
        </w:rPr>
        <w:t>街道办事处</w:t>
      </w: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年政府信息公开工作年度报告</w:t>
      </w:r>
    </w:p>
    <w:p>
      <w:pPr>
        <w:spacing w:line="560" w:lineRule="exact"/>
        <w:rPr>
          <w:rFonts w:ascii="仿宋_GB2312" w:cs="仿宋_GB2312"/>
        </w:rPr>
      </w:pPr>
      <w:r>
        <w:rPr>
          <w:rFonts w:ascii="仿宋_GB2312" w:hAnsi="仿宋_GB2312" w:cs="仿宋_GB2312"/>
        </w:rPr>
        <w:t xml:space="preserve">    </w:t>
      </w:r>
    </w:p>
    <w:p>
      <w:pPr>
        <w:spacing w:line="600" w:lineRule="exact"/>
        <w:ind w:firstLine="632" w:firstLineChars="200"/>
        <w:rPr>
          <w:rFonts w:ascii="仿宋_GB2312" w:cs="仿宋_GB2312"/>
          <w:color w:val="FF0000"/>
        </w:rPr>
      </w:pPr>
      <w:r>
        <w:rPr>
          <w:rFonts w:hint="eastAsia" w:ascii="仿宋_GB2312" w:hAnsi="仿宋_GB2312" w:cs="仿宋_GB2312"/>
        </w:rPr>
        <w:t>本年度报告根据《中华人民共和国政府信息公开条例》（以下简称《条例》）和《国务院办公厅政府信息与政务公开办公室关于印发〈中华人民共和国政府信息公开工作年度报告格式〉的通知》（国办公开办函〔</w:t>
      </w:r>
      <w:r>
        <w:rPr>
          <w:rFonts w:ascii="仿宋_GB2312" w:hAnsi="仿宋_GB2312" w:cs="仿宋_GB2312"/>
        </w:rPr>
        <w:t>2021</w:t>
      </w:r>
      <w:r>
        <w:rPr>
          <w:rFonts w:hint="eastAsia" w:ascii="仿宋_GB2312" w:hAnsi="仿宋_GB2312" w:cs="仿宋_GB2312"/>
        </w:rPr>
        <w:t>〕</w:t>
      </w:r>
      <w:r>
        <w:rPr>
          <w:rFonts w:ascii="仿宋_GB2312" w:hAnsi="仿宋_GB2312" w:cs="仿宋_GB2312"/>
        </w:rPr>
        <w:t>30</w:t>
      </w:r>
      <w:r>
        <w:rPr>
          <w:rFonts w:hint="eastAsia" w:ascii="仿宋_GB2312" w:hAnsi="仿宋_GB2312" w:cs="仿宋_GB2312"/>
        </w:rPr>
        <w:t>号，以下简称《通知》）的要求编制而成。本报告由总体情况、主动公开政府信息情况、收到和处理政府信息公开申请情况、政府信息公开行政复议和行政诉讼情况、存在的主要问题及改进情况、其他需要报告的事项等六部分组成。本报告中所列数据统计期限自</w:t>
      </w:r>
      <w:r>
        <w:rPr>
          <w:rFonts w:ascii="仿宋_GB2312" w:hAnsi="仿宋_GB2312" w:cs="仿宋_GB2312"/>
        </w:rPr>
        <w:t>2022</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1</w:t>
      </w:r>
      <w:r>
        <w:rPr>
          <w:rFonts w:hint="eastAsia" w:ascii="仿宋_GB2312" w:hAnsi="仿宋_GB2312" w:cs="仿宋_GB2312"/>
        </w:rPr>
        <w:t>日至</w:t>
      </w:r>
      <w:r>
        <w:rPr>
          <w:rFonts w:ascii="仿宋_GB2312" w:hAnsi="仿宋_GB2312" w:cs="仿宋_GB2312"/>
        </w:rPr>
        <w:t>2022</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31</w:t>
      </w:r>
      <w:r>
        <w:rPr>
          <w:rFonts w:hint="eastAsia" w:ascii="仿宋_GB2312" w:hAnsi="仿宋_GB2312" w:cs="仿宋_GB2312"/>
        </w:rPr>
        <w:t>日截止。本报告全面客观的反映了阿城区</w:t>
      </w:r>
      <w:r>
        <w:rPr>
          <w:rFonts w:hint="eastAsia" w:ascii="仿宋_GB2312" w:hAnsi="仿宋_GB2312" w:cs="仿宋_GB2312"/>
          <w:lang w:eastAsia="zh-CN"/>
        </w:rPr>
        <w:t>通城</w:t>
      </w:r>
      <w:r>
        <w:rPr>
          <w:rFonts w:hint="eastAsia" w:ascii="仿宋_GB2312" w:hAnsi="仿宋_GB2312" w:cs="仿宋_GB2312"/>
        </w:rPr>
        <w:t>街道办事处</w:t>
      </w:r>
      <w:r>
        <w:rPr>
          <w:rFonts w:ascii="仿宋_GB2312" w:hAnsi="仿宋_GB2312" w:cs="仿宋_GB2312"/>
        </w:rPr>
        <w:t>2022</w:t>
      </w:r>
      <w:r>
        <w:rPr>
          <w:rFonts w:hint="eastAsia" w:ascii="仿宋_GB2312" w:hAnsi="仿宋_GB2312" w:cs="仿宋_GB2312"/>
        </w:rPr>
        <w:t>年度政府信息公开工作取得的成效和存在的问题。本报告通过阿城区人民政府网站（</w:t>
      </w:r>
      <w:r>
        <w:rPr>
          <w:rFonts w:ascii="仿宋_GB2312" w:hAnsi="仿宋_GB2312" w:cs="仿宋_GB2312"/>
        </w:rPr>
        <w:t>http://www.acheng.gov.cn/</w:t>
      </w:r>
      <w:r>
        <w:rPr>
          <w:rFonts w:hint="eastAsia" w:ascii="仿宋_GB2312" w:hAnsi="仿宋_GB2312" w:cs="仿宋_GB2312"/>
        </w:rPr>
        <w:t>）向社会公开，欢迎社会各界进行监督、提出意见，欢迎广大机关企事业单位和人民群众参阅使用。如对本报告有疑问、意见和建议，请联系阿城区河东街道办事处，地址：阿城区</w:t>
      </w:r>
      <w:r>
        <w:rPr>
          <w:rFonts w:hint="eastAsia" w:ascii="仿宋_GB2312" w:hAnsi="仿宋_GB2312" w:cs="仿宋_GB2312"/>
          <w:lang w:eastAsia="zh-CN"/>
        </w:rPr>
        <w:t>中都大街</w:t>
      </w:r>
      <w:r>
        <w:rPr>
          <w:rFonts w:hint="eastAsia" w:ascii="仿宋_GB2312" w:hAnsi="仿宋_GB2312" w:cs="仿宋_GB2312"/>
          <w:lang w:val="en-US" w:eastAsia="zh-CN"/>
        </w:rPr>
        <w:t>89</w:t>
      </w:r>
      <w:r>
        <w:rPr>
          <w:rFonts w:hint="eastAsia" w:ascii="仿宋_GB2312" w:hAnsi="仿宋_GB2312" w:cs="仿宋_GB2312"/>
        </w:rPr>
        <w:t>号；邮编：</w:t>
      </w:r>
      <w:r>
        <w:rPr>
          <w:rFonts w:ascii="仿宋_GB2312" w:hAnsi="仿宋_GB2312" w:cs="仿宋_GB2312"/>
        </w:rPr>
        <w:t>15030</w:t>
      </w:r>
      <w:r>
        <w:rPr>
          <w:rFonts w:hint="eastAsia" w:ascii="仿宋_GB2312" w:hAnsi="仿宋_GB2312" w:cs="仿宋_GB2312"/>
          <w:lang w:val="en-US" w:eastAsia="zh-CN"/>
        </w:rPr>
        <w:t>0</w:t>
      </w:r>
      <w:r>
        <w:rPr>
          <w:rFonts w:hint="eastAsia" w:ascii="仿宋_GB2312" w:hAnsi="仿宋_GB2312" w:cs="仿宋_GB2312"/>
        </w:rPr>
        <w:t>；联系电话：</w:t>
      </w:r>
      <w:r>
        <w:rPr>
          <w:rFonts w:ascii="仿宋_GB2312" w:hAnsi="仿宋_GB2312" w:cs="仿宋_GB2312"/>
        </w:rPr>
        <w:t>0451-5</w:t>
      </w:r>
      <w:r>
        <w:rPr>
          <w:rFonts w:hint="eastAsia" w:ascii="仿宋_GB2312" w:hAnsi="仿宋_GB2312" w:cs="仿宋_GB2312"/>
          <w:lang w:val="en-US" w:eastAsia="zh-CN"/>
        </w:rPr>
        <w:t>6568810</w:t>
      </w:r>
      <w:r>
        <w:rPr>
          <w:rFonts w:hint="eastAsia" w:ascii="仿宋_GB2312" w:hAnsi="仿宋_GB2312" w:cs="仿宋_GB2312"/>
        </w:rPr>
        <w:t>。</w:t>
      </w:r>
    </w:p>
    <w:p>
      <w:pPr>
        <w:numPr>
          <w:ilvl w:val="0"/>
          <w:numId w:val="1"/>
        </w:numPr>
        <w:spacing w:line="600" w:lineRule="exact"/>
        <w:ind w:left="631" w:leftChars="0" w:firstLine="0" w:firstLineChars="0"/>
        <w:rPr>
          <w:rFonts w:hint="eastAsia" w:ascii="黑体" w:hAnsi="黑体" w:eastAsia="黑体" w:cs="黑体"/>
        </w:rPr>
      </w:pPr>
      <w:r>
        <w:rPr>
          <w:rFonts w:hint="eastAsia" w:ascii="黑体" w:hAnsi="黑体" w:eastAsia="黑体" w:cs="黑体"/>
        </w:rPr>
        <w:t>总体情况</w:t>
      </w:r>
    </w:p>
    <w:p>
      <w:pPr>
        <w:numPr>
          <w:ilvl w:val="0"/>
          <w:numId w:val="0"/>
        </w:numPr>
        <w:spacing w:line="600" w:lineRule="exact"/>
        <w:ind w:left="631" w:leftChars="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主动公开政府信息情况</w:t>
      </w:r>
    </w:p>
    <w:p>
      <w:pPr>
        <w:spacing w:line="600" w:lineRule="exact"/>
        <w:ind w:firstLine="631"/>
        <w:rPr>
          <w:rFonts w:hint="eastAsia" w:ascii="仿宋_GB2312" w:hAnsi="黑体" w:cs="黑体"/>
        </w:rPr>
      </w:pPr>
      <w:r>
        <w:rPr>
          <w:rFonts w:hint="eastAsia" w:ascii="仿宋_GB2312" w:hAnsi="黑体" w:cs="黑体"/>
          <w:lang w:eastAsia="zh-CN"/>
        </w:rPr>
        <w:t>通城</w:t>
      </w:r>
      <w:r>
        <w:rPr>
          <w:rFonts w:hint="eastAsia" w:ascii="仿宋_GB2312" w:hAnsi="黑体" w:cs="黑体"/>
        </w:rPr>
        <w:t>街道办事处严格</w:t>
      </w:r>
      <w:r>
        <w:rPr>
          <w:rFonts w:hint="eastAsia" w:ascii="仿宋_GB2312" w:hAnsi="黑体" w:cs="黑体"/>
          <w:lang w:val="en-US" w:eastAsia="zh-CN"/>
        </w:rPr>
        <w:t>执行</w:t>
      </w:r>
      <w:r>
        <w:rPr>
          <w:rFonts w:hint="eastAsia" w:ascii="仿宋_GB2312" w:hAnsi="黑体" w:cs="黑体"/>
        </w:rPr>
        <w:t>《条例》相关要求，</w:t>
      </w:r>
      <w:r>
        <w:rPr>
          <w:rFonts w:hint="eastAsia" w:ascii="仿宋_GB2312" w:hAnsi="黑体" w:cs="黑体"/>
          <w:lang w:val="en-US" w:eastAsia="zh-CN"/>
        </w:rPr>
        <w:t>始终</w:t>
      </w:r>
      <w:r>
        <w:rPr>
          <w:rFonts w:hint="eastAsia" w:ascii="仿宋_GB2312" w:hAnsi="黑体" w:cs="黑体"/>
        </w:rPr>
        <w:t>坚持公开为常态、不公开为例外，遵循公正、公平、合法、便民的原则，加强对政府信息公开工作的组织领导，建立健全政务公开各项工作制度，不断扩大政务公开范围，细化政务公开内容，凡是涉及到了公共利益、公民、法人和其他组织权益、社会关注的热点问题以及需要社会广泛知晓的政务事项，都进行了主动公开。提高了政府工作的透明度，推进了法治政府建设。</w:t>
      </w:r>
    </w:p>
    <w:p>
      <w:pPr>
        <w:spacing w:line="600" w:lineRule="exact"/>
        <w:ind w:firstLine="631"/>
        <w:rPr>
          <w:rFonts w:hint="default" w:ascii="仿宋_GB2312" w:hAnsi="黑体" w:cs="黑体"/>
          <w:lang w:val="en-US" w:eastAsia="zh-CN"/>
        </w:rPr>
      </w:pPr>
      <w:r>
        <w:rPr>
          <w:rFonts w:hint="eastAsia" w:ascii="仿宋_GB2312" w:hAnsi="黑体" w:cs="黑体"/>
          <w:lang w:eastAsia="zh-CN"/>
        </w:rPr>
        <w:t>（</w:t>
      </w:r>
      <w:r>
        <w:rPr>
          <w:rFonts w:hint="eastAsia" w:ascii="仿宋_GB2312" w:hAnsi="黑体" w:cs="黑体"/>
          <w:lang w:val="en-US" w:eastAsia="zh-CN"/>
        </w:rPr>
        <w:t>二</w:t>
      </w:r>
      <w:r>
        <w:rPr>
          <w:rFonts w:hint="eastAsia" w:ascii="仿宋_GB2312" w:hAnsi="黑体" w:cs="黑体"/>
          <w:lang w:eastAsia="zh-CN"/>
        </w:rPr>
        <w:t>）</w:t>
      </w:r>
      <w:r>
        <w:rPr>
          <w:rFonts w:hint="eastAsia" w:ascii="仿宋_GB2312" w:hAnsi="黑体" w:cs="黑体"/>
          <w:lang w:val="en-US" w:eastAsia="zh-CN"/>
        </w:rPr>
        <w:t>依申请公开信息情况</w:t>
      </w:r>
    </w:p>
    <w:p>
      <w:pPr>
        <w:spacing w:line="600" w:lineRule="exact"/>
        <w:ind w:firstLine="631"/>
        <w:rPr>
          <w:rFonts w:hint="eastAsia" w:ascii="仿宋_GB2312" w:hAnsi="黑体" w:cs="黑体"/>
        </w:rPr>
      </w:pPr>
      <w:r>
        <w:rPr>
          <w:rFonts w:hint="eastAsia" w:ascii="仿宋_GB2312" w:hAnsi="黑体" w:cs="黑体"/>
        </w:rPr>
        <w:t>进一步规范依申</w:t>
      </w:r>
      <w:r>
        <w:rPr>
          <w:rFonts w:hint="eastAsia" w:ascii="仿宋_GB2312" w:hAnsi="黑体" w:cs="黑体"/>
          <w:lang w:val="en-US" w:eastAsia="zh-CN"/>
        </w:rPr>
        <w:t>请</w:t>
      </w:r>
      <w:r>
        <w:rPr>
          <w:rFonts w:hint="eastAsia" w:ascii="仿宋_GB2312" w:hAnsi="黑体" w:cs="黑体"/>
        </w:rPr>
        <w:t>公开办理程序，优化依申</w:t>
      </w:r>
      <w:r>
        <w:rPr>
          <w:rFonts w:hint="eastAsia" w:ascii="仿宋_GB2312" w:hAnsi="黑体" w:cs="黑体"/>
          <w:lang w:val="en-US" w:eastAsia="zh-CN"/>
        </w:rPr>
        <w:t>请公开办理</w:t>
      </w:r>
      <w:r>
        <w:rPr>
          <w:rFonts w:hint="eastAsia" w:ascii="仿宋_GB2312" w:hAnsi="黑体" w:cs="黑体"/>
        </w:rPr>
        <w:t>环节，畅通依申</w:t>
      </w:r>
      <w:r>
        <w:rPr>
          <w:rFonts w:hint="eastAsia" w:ascii="仿宋_GB2312" w:hAnsi="黑体" w:cs="黑体"/>
          <w:lang w:val="en-US" w:eastAsia="zh-CN"/>
        </w:rPr>
        <w:t>请</w:t>
      </w:r>
      <w:r>
        <w:rPr>
          <w:rFonts w:hint="eastAsia" w:ascii="仿宋_GB2312" w:hAnsi="黑体" w:cs="黑体"/>
        </w:rPr>
        <w:t>公开受理渠道，实现依申</w:t>
      </w:r>
      <w:r>
        <w:rPr>
          <w:rFonts w:hint="eastAsia" w:ascii="仿宋_GB2312" w:hAnsi="黑体" w:cs="黑体"/>
          <w:lang w:val="en-US" w:eastAsia="zh-CN"/>
        </w:rPr>
        <w:t>请公开</w:t>
      </w:r>
      <w:r>
        <w:rPr>
          <w:rFonts w:hint="eastAsia" w:ascii="仿宋_GB2312" w:hAnsi="黑体" w:cs="黑体"/>
        </w:rPr>
        <w:t>受理程序清晰、环节合理</w:t>
      </w:r>
      <w:r>
        <w:rPr>
          <w:rFonts w:hint="eastAsia" w:ascii="仿宋_GB2312" w:hAnsi="黑体" w:cs="黑体"/>
          <w:lang w:eastAsia="zh-CN"/>
        </w:rPr>
        <w:t>、</w:t>
      </w:r>
      <w:r>
        <w:rPr>
          <w:rFonts w:hint="eastAsia" w:ascii="仿宋_GB2312" w:hAnsi="黑体" w:cs="黑体"/>
        </w:rPr>
        <w:t>渠道畅通</w:t>
      </w:r>
      <w:r>
        <w:rPr>
          <w:rFonts w:hint="eastAsia" w:ascii="仿宋_GB2312" w:hAnsi="黑体" w:cs="黑体"/>
          <w:lang w:eastAsia="zh-CN"/>
        </w:rPr>
        <w:t>、</w:t>
      </w:r>
      <w:r>
        <w:rPr>
          <w:rFonts w:hint="eastAsia" w:ascii="仿宋_GB2312" w:hAnsi="黑体" w:cs="黑体"/>
        </w:rPr>
        <w:t>回复及时标准、归档完整，依法依规满足公民、法人和其他组织对政府信息的需求。</w:t>
      </w:r>
    </w:p>
    <w:p>
      <w:pPr>
        <w:spacing w:line="600" w:lineRule="exact"/>
        <w:ind w:firstLine="631"/>
        <w:rPr>
          <w:rFonts w:hint="default" w:ascii="仿宋_GB2312" w:hAnsi="黑体" w:cs="黑体"/>
          <w:lang w:val="en-US" w:eastAsia="zh-CN"/>
        </w:rPr>
      </w:pPr>
      <w:r>
        <w:rPr>
          <w:rFonts w:hint="eastAsia" w:ascii="仿宋_GB2312" w:hAnsi="黑体" w:cs="黑体"/>
          <w:lang w:eastAsia="zh-CN"/>
        </w:rPr>
        <w:t>（</w:t>
      </w:r>
      <w:r>
        <w:rPr>
          <w:rFonts w:hint="eastAsia" w:ascii="仿宋_GB2312" w:hAnsi="黑体" w:cs="黑体"/>
          <w:lang w:val="en-US" w:eastAsia="zh-CN"/>
        </w:rPr>
        <w:t>三</w:t>
      </w:r>
      <w:r>
        <w:rPr>
          <w:rFonts w:hint="eastAsia" w:ascii="仿宋_GB2312" w:hAnsi="黑体" w:cs="黑体"/>
          <w:lang w:eastAsia="zh-CN"/>
        </w:rPr>
        <w:t>）</w:t>
      </w:r>
      <w:r>
        <w:rPr>
          <w:rFonts w:hint="eastAsia" w:ascii="仿宋_GB2312" w:hAnsi="黑体" w:cs="黑体"/>
          <w:lang w:val="en-US" w:eastAsia="zh-CN"/>
        </w:rPr>
        <w:t>政府信息管理情况</w:t>
      </w:r>
    </w:p>
    <w:p>
      <w:pPr>
        <w:spacing w:line="600" w:lineRule="exact"/>
        <w:ind w:firstLine="631"/>
        <w:rPr>
          <w:rFonts w:hint="default" w:ascii="仿宋_GB2312" w:hAnsi="黑体" w:cs="黑体"/>
          <w:lang w:val="en-US" w:eastAsia="zh-CN"/>
        </w:rPr>
      </w:pPr>
      <w:r>
        <w:rPr>
          <w:rFonts w:hint="eastAsia" w:ascii="仿宋_GB2312" w:hAnsi="黑体" w:cs="黑体"/>
          <w:lang w:val="en-US" w:eastAsia="zh-CN"/>
        </w:rPr>
        <w:t>街道主要领导负总责，常务领导分管该项工作，综合办负责推进、指导、协调、联络信息公开工作，建立上与区政府对接、下与街道各办联动的信息公开体系，确保该项工作顺利开展。</w:t>
      </w:r>
    </w:p>
    <w:p>
      <w:pPr>
        <w:spacing w:line="600" w:lineRule="exact"/>
        <w:ind w:firstLine="631"/>
        <w:rPr>
          <w:rFonts w:hint="default" w:ascii="仿宋_GB2312" w:hAnsi="黑体" w:eastAsia="仿宋_GB2312" w:cs="黑体"/>
          <w:lang w:val="en-US" w:eastAsia="zh-CN"/>
        </w:rPr>
      </w:pPr>
      <w:r>
        <w:rPr>
          <w:rFonts w:hint="eastAsia" w:ascii="仿宋_GB2312" w:hAnsi="黑体" w:cs="黑体"/>
          <w:lang w:eastAsia="zh-CN"/>
        </w:rPr>
        <w:t>（</w:t>
      </w:r>
      <w:r>
        <w:rPr>
          <w:rFonts w:hint="eastAsia" w:ascii="仿宋_GB2312" w:hAnsi="黑体" w:cs="黑体"/>
          <w:lang w:val="en-US" w:eastAsia="zh-CN"/>
        </w:rPr>
        <w:t>四</w:t>
      </w:r>
      <w:r>
        <w:rPr>
          <w:rFonts w:hint="eastAsia" w:ascii="仿宋_GB2312" w:hAnsi="黑体" w:cs="黑体"/>
          <w:lang w:eastAsia="zh-CN"/>
        </w:rPr>
        <w:t>）</w:t>
      </w:r>
      <w:r>
        <w:rPr>
          <w:rFonts w:hint="eastAsia" w:ascii="仿宋_GB2312" w:hAnsi="黑体" w:cs="黑体"/>
          <w:lang w:val="en-US" w:eastAsia="zh-CN"/>
        </w:rPr>
        <w:t>政府信息平台建设情况</w:t>
      </w:r>
    </w:p>
    <w:p>
      <w:pPr>
        <w:spacing w:line="600" w:lineRule="exact"/>
        <w:ind w:firstLine="631"/>
        <w:rPr>
          <w:rFonts w:hint="eastAsia" w:ascii="仿宋_GB2312" w:hAnsi="黑体" w:cs="黑体"/>
        </w:rPr>
      </w:pPr>
      <w:r>
        <w:rPr>
          <w:rFonts w:hint="eastAsia" w:ascii="仿宋_GB2312" w:hAnsi="黑体" w:cs="黑体"/>
          <w:lang w:val="en-US" w:eastAsia="zh-CN"/>
        </w:rPr>
        <w:t>按照区政府网站要求，及时更新单位领导调动、分工调整等信息、各科室设置、工作职能变动信息、应当向广大居民进行通告的信息等，</w:t>
      </w:r>
      <w:r>
        <w:rPr>
          <w:rFonts w:hint="eastAsia" w:ascii="仿宋_GB2312" w:hAnsi="黑体" w:cs="黑体"/>
        </w:rPr>
        <w:t>充分发挥区政府门户网站作用。</w:t>
      </w:r>
    </w:p>
    <w:p>
      <w:pPr>
        <w:spacing w:line="600" w:lineRule="exact"/>
        <w:ind w:firstLine="631"/>
        <w:rPr>
          <w:rFonts w:hint="default" w:ascii="仿宋_GB2312" w:hAnsi="黑体" w:cs="黑体"/>
          <w:lang w:val="en-US" w:eastAsia="zh-CN"/>
        </w:rPr>
      </w:pPr>
      <w:r>
        <w:rPr>
          <w:rFonts w:hint="eastAsia" w:ascii="仿宋_GB2312" w:hAnsi="黑体" w:cs="黑体"/>
          <w:lang w:eastAsia="zh-CN"/>
        </w:rPr>
        <w:t>（</w:t>
      </w:r>
      <w:r>
        <w:rPr>
          <w:rFonts w:hint="eastAsia" w:ascii="仿宋_GB2312" w:hAnsi="黑体" w:cs="黑体"/>
          <w:lang w:val="en-US" w:eastAsia="zh-CN"/>
        </w:rPr>
        <w:t>五</w:t>
      </w:r>
      <w:r>
        <w:rPr>
          <w:rFonts w:hint="eastAsia" w:ascii="仿宋_GB2312" w:hAnsi="黑体" w:cs="黑体"/>
          <w:lang w:eastAsia="zh-CN"/>
        </w:rPr>
        <w:t>）</w:t>
      </w:r>
      <w:r>
        <w:rPr>
          <w:rFonts w:hint="eastAsia" w:ascii="仿宋_GB2312" w:hAnsi="黑体" w:cs="黑体"/>
          <w:lang w:val="en-US" w:eastAsia="zh-CN"/>
        </w:rPr>
        <w:t>监督保障情况</w:t>
      </w:r>
    </w:p>
    <w:p>
      <w:pPr>
        <w:spacing w:line="600" w:lineRule="exact"/>
        <w:ind w:firstLine="631"/>
        <w:rPr>
          <w:rFonts w:hint="eastAsia" w:ascii="仿宋_GB2312" w:hAnsi="黑体" w:cs="黑体"/>
        </w:rPr>
      </w:pPr>
      <w:r>
        <w:rPr>
          <w:rFonts w:hint="eastAsia" w:ascii="仿宋_GB2312" w:hAnsi="黑体" w:cs="黑体"/>
          <w:lang w:val="en-US" w:eastAsia="zh-CN"/>
        </w:rPr>
        <w:t>街道确定常务领导负责对政府信息进行监督管理，确定综合办配合常务领导开展该项工作，负责对政府网站信息进行更新、反馈等，并</w:t>
      </w:r>
      <w:r>
        <w:rPr>
          <w:rFonts w:hint="eastAsia" w:ascii="仿宋_GB2312" w:hAnsi="黑体" w:cs="黑体"/>
        </w:rPr>
        <w:t>加强</w:t>
      </w:r>
      <w:r>
        <w:rPr>
          <w:rFonts w:hint="eastAsia" w:ascii="仿宋_GB2312" w:hAnsi="黑体" w:cs="黑体"/>
          <w:lang w:val="en-US" w:eastAsia="zh-CN"/>
        </w:rPr>
        <w:t>对</w:t>
      </w:r>
      <w:r>
        <w:rPr>
          <w:rFonts w:hint="eastAsia" w:ascii="仿宋_GB2312" w:hAnsi="黑体" w:cs="黑体"/>
        </w:rPr>
        <w:t>政务新媒体</w:t>
      </w:r>
      <w:r>
        <w:rPr>
          <w:rFonts w:hint="eastAsia" w:ascii="仿宋_GB2312" w:hAnsi="黑体" w:cs="黑体"/>
          <w:lang w:val="en-US" w:eastAsia="zh-CN"/>
        </w:rPr>
        <w:t>监督，实现</w:t>
      </w:r>
      <w:r>
        <w:rPr>
          <w:rFonts w:hint="eastAsia" w:ascii="仿宋_GB2312" w:hAnsi="黑体" w:cs="黑体"/>
        </w:rPr>
        <w:t>规范化管理，有效推进</w:t>
      </w:r>
      <w:r>
        <w:rPr>
          <w:rFonts w:hint="eastAsia" w:ascii="仿宋_GB2312" w:hAnsi="黑体" w:cs="黑体"/>
          <w:lang w:val="en-US" w:eastAsia="zh-CN"/>
        </w:rPr>
        <w:t>政府</w:t>
      </w:r>
      <w:r>
        <w:rPr>
          <w:rFonts w:hint="eastAsia" w:ascii="仿宋_GB2312" w:hAnsi="黑体" w:cs="黑体"/>
        </w:rPr>
        <w:t>网站和政务新媒体的相互融合，整体发声。</w:t>
      </w:r>
    </w:p>
    <w:p>
      <w:pPr>
        <w:spacing w:line="560" w:lineRule="exact"/>
        <w:rPr>
          <w:rFonts w:ascii="黑体" w:hAnsi="黑体" w:eastAsia="黑体" w:cs="黑体"/>
        </w:rPr>
      </w:pPr>
      <w:r>
        <w:rPr>
          <w:rFonts w:ascii="黑体" w:hAnsi="黑体" w:eastAsia="黑体" w:cs="黑体"/>
        </w:rPr>
        <w:t xml:space="preserve">  </w:t>
      </w:r>
      <w:r>
        <w:rPr>
          <w:rFonts w:hint="eastAsia" w:ascii="仿宋" w:hAnsi="仿宋" w:eastAsia="仿宋" w:cs="仿宋"/>
          <w:b w:val="0"/>
          <w:bCs w:val="0"/>
        </w:rPr>
        <w:t xml:space="preserve"> </w:t>
      </w:r>
      <w:r>
        <w:rPr>
          <w:rFonts w:hint="eastAsia" w:ascii="仿宋" w:hAnsi="仿宋" w:eastAsia="仿宋" w:cs="仿宋"/>
          <w:b w:val="0"/>
          <w:bCs w:val="0"/>
          <w:lang w:eastAsia="zh-CN"/>
        </w:rPr>
        <w:t>通城街道</w:t>
      </w:r>
      <w:r>
        <w:rPr>
          <w:rFonts w:ascii="仿宋_GB2312" w:hAnsi="仿宋_GB2312" w:eastAsia="仿宋_GB2312" w:cs="仿宋_GB2312"/>
          <w:sz w:val="32"/>
          <w:szCs w:val="32"/>
        </w:rPr>
        <w:t>坚持以更高质量公开助力推进政府治理体系和治理能力现代化作为核心要求，积极推进全</w:t>
      </w:r>
      <w:r>
        <w:rPr>
          <w:rFonts w:hint="eastAsia" w:ascii="仿宋_GB2312" w:hAnsi="仿宋_GB2312" w:eastAsia="仿宋_GB2312" w:cs="仿宋_GB2312"/>
          <w:sz w:val="32"/>
          <w:szCs w:val="32"/>
        </w:rPr>
        <w:t>街</w:t>
      </w:r>
      <w:r>
        <w:rPr>
          <w:rFonts w:ascii="仿宋_GB2312" w:hAnsi="仿宋_GB2312" w:eastAsia="仿宋_GB2312" w:cs="仿宋_GB2312"/>
          <w:sz w:val="32"/>
          <w:szCs w:val="32"/>
        </w:rPr>
        <w:t>政务公开标准化规范化工作，聚焦</w:t>
      </w:r>
      <w:r>
        <w:rPr>
          <w:rFonts w:hint="eastAsia" w:ascii="仿宋_GB2312" w:hAnsi="仿宋_GB2312" w:eastAsia="仿宋_GB2312" w:cs="仿宋_GB2312"/>
          <w:sz w:val="32"/>
          <w:szCs w:val="32"/>
        </w:rPr>
        <w:t>街域</w:t>
      </w:r>
      <w:r>
        <w:rPr>
          <w:rFonts w:hint="eastAsia" w:ascii="仿宋_GB2312" w:hAnsi="仿宋_GB2312" w:cs="仿宋_GB2312"/>
          <w:sz w:val="32"/>
          <w:szCs w:val="32"/>
          <w:lang w:eastAsia="zh-CN"/>
        </w:rPr>
        <w:t>经济社会发展</w:t>
      </w:r>
      <w:r>
        <w:rPr>
          <w:rFonts w:ascii="仿宋_GB2312" w:hAnsi="仿宋_GB2312" w:eastAsia="仿宋_GB2312" w:cs="仿宋_GB2312"/>
          <w:sz w:val="32"/>
          <w:szCs w:val="32"/>
        </w:rPr>
        <w:t>任务，着眼深化“放管服”改革优化营商环境，以公开促落实、促规范、促服务，为更好地服务和推进全</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经济社会发展发挥了积极作用</w:t>
      </w:r>
      <w:r>
        <w:rPr>
          <w:rFonts w:hint="eastAsia" w:ascii="仿宋_GB2312" w:hAnsi="仿宋_GB2312" w:cs="仿宋_GB2312"/>
          <w:sz w:val="32"/>
          <w:szCs w:val="32"/>
          <w:lang w:eastAsia="zh-CN"/>
        </w:rPr>
        <w:t>。</w:t>
      </w:r>
      <w:r>
        <w:rPr>
          <w:rFonts w:ascii="黑体" w:hAnsi="黑体" w:eastAsia="黑体" w:cs="黑体"/>
        </w:rPr>
        <w:t xml:space="preserve"> </w:t>
      </w:r>
    </w:p>
    <w:p>
      <w:pPr>
        <w:spacing w:line="560" w:lineRule="exact"/>
        <w:rPr>
          <w:rFonts w:ascii="黑体" w:hAnsi="黑体" w:eastAsia="黑体" w:cs="黑体"/>
        </w:rPr>
      </w:pPr>
      <w:r>
        <w:rPr>
          <w:rFonts w:hint="eastAsia" w:ascii="黑体" w:hAnsi="黑体" w:eastAsia="黑体" w:cs="黑体"/>
        </w:rPr>
        <w:t>二、主动公开政府信息情况</w:t>
      </w:r>
    </w:p>
    <w:tbl>
      <w:tblPr>
        <w:tblStyle w:val="4"/>
        <w:tblW w:w="10205"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2457"/>
        <w:gridCol w:w="2518"/>
        <w:gridCol w:w="2711"/>
        <w:gridCol w:w="25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62" w:hRule="atLeast"/>
          <w:jc w:val="center"/>
        </w:trPr>
        <w:tc>
          <w:tcPr>
            <w:tcW w:w="7300" w:type="dxa"/>
            <w:gridSpan w:val="4"/>
            <w:tcBorders>
              <w:tl2br w:val="nil"/>
              <w:tr2bl w:val="nil"/>
            </w:tcBorders>
            <w:shd w:val="clear" w:color="auto"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第二十条第（一）项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信息内容</w:t>
            </w:r>
          </w:p>
        </w:tc>
        <w:tc>
          <w:tcPr>
            <w:tcW w:w="1801" w:type="dxa"/>
            <w:tcBorders>
              <w:tl2br w:val="nil"/>
              <w:tr2bl w:val="nil"/>
            </w:tcBorders>
            <w:vAlign w:val="center"/>
          </w:tcPr>
          <w:p>
            <w:pPr>
              <w:widowControl/>
              <w:jc w:val="center"/>
              <w:textAlignment w:val="center"/>
              <w:rPr>
                <w:rFonts w:ascii="宋体" w:hAnsi="宋体" w:eastAsia="宋体" w:cs="宋体"/>
                <w:color w:val="000000"/>
                <w:sz w:val="20"/>
                <w:szCs w:val="20"/>
              </w:rPr>
            </w:pPr>
            <w:r>
              <w:rPr>
                <w:rStyle w:val="7"/>
                <w:rFonts w:hint="eastAsia"/>
              </w:rPr>
              <w:t>本年</w:t>
            </w:r>
            <w:r>
              <w:rPr>
                <w:rStyle w:val="9"/>
                <w:rFonts w:hint="eastAsia" w:eastAsia="宋体"/>
              </w:rPr>
              <w:t>制</w:t>
            </w:r>
            <w:r>
              <w:rPr>
                <w:rStyle w:val="7"/>
                <w:rFonts w:hint="eastAsia"/>
              </w:rPr>
              <w:t>发件</w:t>
            </w:r>
            <w:r>
              <w:rPr>
                <w:rStyle w:val="9"/>
                <w:rFonts w:hint="eastAsia" w:eastAsia="宋体"/>
              </w:rPr>
              <w:t>数</w:t>
            </w:r>
          </w:p>
        </w:tc>
        <w:tc>
          <w:tcPr>
            <w:tcW w:w="1939" w:type="dxa"/>
            <w:tcBorders>
              <w:tl2br w:val="nil"/>
              <w:tr2bl w:val="nil"/>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本年废止件数</w:t>
            </w:r>
          </w:p>
        </w:tc>
        <w:tc>
          <w:tcPr>
            <w:tcW w:w="1802" w:type="dxa"/>
            <w:tcBorders>
              <w:tl2br w:val="nil"/>
              <w:tr2bl w:val="nil"/>
            </w:tcBorders>
            <w:vAlign w:val="center"/>
          </w:tcPr>
          <w:p>
            <w:pPr>
              <w:widowControl/>
              <w:jc w:val="center"/>
              <w:textAlignment w:val="center"/>
              <w:rPr>
                <w:rFonts w:ascii="宋体" w:hAnsi="宋体" w:eastAsia="宋体" w:cs="宋体"/>
                <w:color w:val="000000"/>
                <w:sz w:val="20"/>
                <w:szCs w:val="20"/>
              </w:rPr>
            </w:pPr>
            <w:r>
              <w:rPr>
                <w:rStyle w:val="7"/>
                <w:rFonts w:hint="eastAsia"/>
              </w:rPr>
              <w:t>现行有效件</w:t>
            </w:r>
            <w:r>
              <w:rPr>
                <w:rStyle w:val="9"/>
                <w:rFonts w:hint="eastAsia" w:eastAsia="宋体"/>
              </w:rPr>
              <w:t>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规章</w:t>
            </w:r>
          </w:p>
        </w:tc>
        <w:tc>
          <w:tcPr>
            <w:tcW w:w="1801" w:type="dxa"/>
            <w:tcBorders>
              <w:tl2br w:val="nil"/>
              <w:tr2bl w:val="nil"/>
            </w:tcBorders>
            <w:vAlign w:val="center"/>
          </w:tcPr>
          <w:p>
            <w:pPr>
              <w:widowControl/>
              <w:jc w:val="center"/>
              <w:rPr>
                <w:rFonts w:ascii="宋体" w:hAnsi="宋体" w:eastAsia="宋体" w:cs="宋体"/>
                <w:color w:val="000000"/>
                <w:sz w:val="20"/>
                <w:szCs w:val="20"/>
              </w:rPr>
            </w:pPr>
            <w:r>
              <w:rPr>
                <w:rFonts w:ascii="宋体" w:eastAsia="宋体" w:cs="宋体"/>
                <w:color w:val="000000"/>
                <w:sz w:val="20"/>
                <w:szCs w:val="20"/>
              </w:rPr>
              <w:t>0</w:t>
            </w:r>
          </w:p>
        </w:tc>
        <w:tc>
          <w:tcPr>
            <w:tcW w:w="1939" w:type="dxa"/>
            <w:tcBorders>
              <w:tl2br w:val="nil"/>
              <w:tr2bl w:val="nil"/>
            </w:tcBorders>
            <w:vAlign w:val="center"/>
          </w:tcPr>
          <w:p>
            <w:pPr>
              <w:widowControl/>
              <w:jc w:val="center"/>
              <w:textAlignment w:val="center"/>
              <w:rPr>
                <w:rFonts w:ascii="宋体" w:hAnsi="宋体" w:eastAsia="宋体" w:cs="宋体"/>
                <w:color w:val="000000"/>
                <w:sz w:val="20"/>
                <w:szCs w:val="20"/>
              </w:rPr>
            </w:pPr>
            <w:r>
              <w:rPr>
                <w:rFonts w:ascii="宋体" w:eastAsia="宋体" w:cs="宋体"/>
                <w:color w:val="000000"/>
                <w:sz w:val="20"/>
                <w:szCs w:val="20"/>
              </w:rPr>
              <w:t>0</w:t>
            </w:r>
          </w:p>
        </w:tc>
        <w:tc>
          <w:tcPr>
            <w:tcW w:w="1802" w:type="dxa"/>
            <w:tcBorders>
              <w:tl2br w:val="nil"/>
              <w:tr2bl w:val="nil"/>
            </w:tcBorders>
            <w:vAlign w:val="center"/>
          </w:tcPr>
          <w:p>
            <w:pPr>
              <w:widowControl/>
              <w:jc w:val="center"/>
              <w:textAlignment w:val="center"/>
              <w:rPr>
                <w:rFonts w:ascii="宋体" w:eastAsia="宋体" w:cs="宋体"/>
                <w:color w:val="000000"/>
                <w:sz w:val="20"/>
                <w:szCs w:val="20"/>
              </w:rPr>
            </w:pPr>
            <w:r>
              <w:rPr>
                <w:rFonts w:ascii="宋体" w:eastAsia="宋体" w:cs="宋体"/>
                <w:color w:val="000000"/>
                <w:sz w:val="20"/>
                <w:szCs w:val="20"/>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行政规范性文件</w:t>
            </w:r>
          </w:p>
        </w:tc>
        <w:tc>
          <w:tcPr>
            <w:tcW w:w="1801" w:type="dxa"/>
            <w:tcBorders>
              <w:tl2br w:val="nil"/>
              <w:tr2bl w:val="nil"/>
            </w:tcBorders>
            <w:vAlign w:val="center"/>
          </w:tcPr>
          <w:p>
            <w:pPr>
              <w:widowControl/>
              <w:jc w:val="center"/>
              <w:textAlignment w:val="center"/>
              <w:rPr>
                <w:rFonts w:ascii="宋体" w:hAnsi="宋体" w:eastAsia="宋体" w:cs="宋体"/>
                <w:color w:val="000000"/>
                <w:sz w:val="20"/>
                <w:szCs w:val="20"/>
              </w:rPr>
            </w:pPr>
            <w:r>
              <w:rPr>
                <w:rFonts w:ascii="宋体" w:eastAsia="宋体" w:cs="宋体"/>
                <w:color w:val="000000"/>
                <w:sz w:val="20"/>
                <w:szCs w:val="20"/>
              </w:rPr>
              <w:t>0</w:t>
            </w:r>
          </w:p>
        </w:tc>
        <w:tc>
          <w:tcPr>
            <w:tcW w:w="1939" w:type="dxa"/>
            <w:tcBorders>
              <w:tl2br w:val="nil"/>
              <w:tr2bl w:val="nil"/>
            </w:tcBorders>
            <w:vAlign w:val="center"/>
          </w:tcPr>
          <w:p>
            <w:pPr>
              <w:widowControl/>
              <w:jc w:val="center"/>
              <w:textAlignment w:val="center"/>
              <w:rPr>
                <w:rFonts w:ascii="宋体" w:hAnsi="宋体" w:eastAsia="宋体" w:cs="宋体"/>
                <w:color w:val="000000"/>
                <w:sz w:val="20"/>
                <w:szCs w:val="20"/>
              </w:rPr>
            </w:pPr>
            <w:r>
              <w:rPr>
                <w:rFonts w:ascii="宋体" w:eastAsia="宋体" w:cs="宋体"/>
                <w:color w:val="000000"/>
                <w:sz w:val="20"/>
                <w:szCs w:val="20"/>
              </w:rPr>
              <w:t>0</w:t>
            </w:r>
          </w:p>
        </w:tc>
        <w:tc>
          <w:tcPr>
            <w:tcW w:w="1802" w:type="dxa"/>
            <w:tcBorders>
              <w:tl2br w:val="nil"/>
              <w:tr2bl w:val="nil"/>
            </w:tcBorders>
            <w:vAlign w:val="center"/>
          </w:tcPr>
          <w:p>
            <w:pPr>
              <w:widowControl/>
              <w:jc w:val="center"/>
              <w:textAlignment w:val="center"/>
              <w:rPr>
                <w:rFonts w:ascii="宋体" w:eastAsia="宋体" w:cs="宋体"/>
                <w:color w:val="000000"/>
                <w:sz w:val="20"/>
                <w:szCs w:val="20"/>
              </w:rPr>
            </w:pPr>
            <w:r>
              <w:rPr>
                <w:rFonts w:ascii="宋体" w:eastAsia="宋体" w:cs="宋体"/>
                <w:color w:val="000000"/>
                <w:sz w:val="20"/>
                <w:szCs w:val="20"/>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tcBorders>
              <w:tl2br w:val="nil"/>
              <w:tr2bl w:val="nil"/>
            </w:tcBorders>
            <w:shd w:val="clear" w:color="auto"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第二十条第（五）项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信息内容</w:t>
            </w:r>
          </w:p>
        </w:tc>
        <w:tc>
          <w:tcPr>
            <w:tcW w:w="5542" w:type="dxa"/>
            <w:gridSpan w:val="3"/>
            <w:tcBorders>
              <w:tl2br w:val="nil"/>
              <w:tr2bl w:val="nil"/>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本年处理决定数量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5542" w:type="dxa"/>
            <w:gridSpan w:val="3"/>
            <w:tcBorders>
              <w:tl2br w:val="nil"/>
              <w:tr2bl w:val="nil"/>
            </w:tcBorders>
            <w:vAlign w:val="center"/>
          </w:tcPr>
          <w:p>
            <w:pPr>
              <w:jc w:val="center"/>
              <w:rPr>
                <w:rFonts w:ascii="Calibri" w:hAnsi="Calibri" w:eastAsia="等线" w:cs="Calibri"/>
                <w:color w:val="000000"/>
                <w:sz w:val="21"/>
                <w:szCs w:val="21"/>
              </w:rPr>
            </w:pPr>
            <w:r>
              <w:rPr>
                <w:rFonts w:ascii="宋体" w:eastAsia="宋体" w:cs="宋体"/>
                <w:color w:val="000000"/>
                <w:sz w:val="20"/>
                <w:szCs w:val="20"/>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tcBorders>
              <w:tl2br w:val="nil"/>
              <w:tr2bl w:val="nil"/>
            </w:tcBorders>
            <w:shd w:val="clear" w:color="auto"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第二十条第（六）项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信息内容</w:t>
            </w:r>
          </w:p>
        </w:tc>
        <w:tc>
          <w:tcPr>
            <w:tcW w:w="5542" w:type="dxa"/>
            <w:gridSpan w:val="3"/>
            <w:tcBorders>
              <w:tl2br w:val="nil"/>
              <w:tr2bl w:val="nil"/>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本年处理决定数量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5542" w:type="dxa"/>
            <w:gridSpan w:val="3"/>
            <w:tcBorders>
              <w:tl2br w:val="nil"/>
              <w:tr2bl w:val="nil"/>
            </w:tcBorders>
            <w:vAlign w:val="center"/>
          </w:tcPr>
          <w:p>
            <w:pPr>
              <w:jc w:val="center"/>
              <w:rPr>
                <w:rFonts w:ascii="宋体" w:hAnsi="宋体" w:eastAsia="宋体" w:cs="宋体"/>
                <w:color w:val="000000"/>
                <w:sz w:val="20"/>
                <w:szCs w:val="20"/>
              </w:rPr>
            </w:pPr>
            <w:r>
              <w:rPr>
                <w:rFonts w:ascii="宋体" w:eastAsia="宋体" w:cs="宋体"/>
                <w:color w:val="000000"/>
                <w:sz w:val="20"/>
                <w:szCs w:val="20"/>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行政强制</w:t>
            </w:r>
          </w:p>
        </w:tc>
        <w:tc>
          <w:tcPr>
            <w:tcW w:w="5542" w:type="dxa"/>
            <w:gridSpan w:val="3"/>
            <w:tcBorders>
              <w:tl2br w:val="nil"/>
              <w:tr2bl w:val="nil"/>
            </w:tcBorders>
            <w:vAlign w:val="center"/>
          </w:tcPr>
          <w:p>
            <w:pPr>
              <w:jc w:val="center"/>
              <w:rPr>
                <w:rFonts w:ascii="宋体" w:hAnsi="宋体" w:eastAsia="宋体" w:cs="宋体"/>
                <w:color w:val="000000"/>
                <w:sz w:val="20"/>
                <w:szCs w:val="20"/>
              </w:rPr>
            </w:pPr>
            <w:r>
              <w:rPr>
                <w:rFonts w:ascii="宋体" w:eastAsia="宋体" w:cs="宋体"/>
                <w:color w:val="000000"/>
                <w:sz w:val="20"/>
                <w:szCs w:val="20"/>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tcBorders>
              <w:tl2br w:val="nil"/>
              <w:tr2bl w:val="nil"/>
            </w:tcBorders>
            <w:shd w:val="clear" w:color="auto"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第二十条第（八）项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信息内容</w:t>
            </w:r>
          </w:p>
        </w:tc>
        <w:tc>
          <w:tcPr>
            <w:tcW w:w="5542" w:type="dxa"/>
            <w:gridSpan w:val="3"/>
            <w:tcBorders>
              <w:tl2br w:val="nil"/>
              <w:tr2bl w:val="nil"/>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本年收费金额（单位：万元）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53" w:hRule="atLeast"/>
          <w:jc w:val="center"/>
        </w:trPr>
        <w:tc>
          <w:tcPr>
            <w:tcW w:w="1758" w:type="dxa"/>
            <w:tcBorders>
              <w:tl2br w:val="nil"/>
              <w:tr2bl w:val="nil"/>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行政事业性收费</w:t>
            </w:r>
          </w:p>
        </w:tc>
        <w:tc>
          <w:tcPr>
            <w:tcW w:w="5542" w:type="dxa"/>
            <w:gridSpan w:val="3"/>
            <w:tcBorders>
              <w:tl2br w:val="nil"/>
              <w:tr2bl w:val="nil"/>
            </w:tcBorders>
            <w:vAlign w:val="center"/>
          </w:tcPr>
          <w:p>
            <w:pPr>
              <w:jc w:val="center"/>
              <w:rPr>
                <w:rFonts w:ascii="等线" w:hAnsi="等线" w:eastAsia="等线" w:cs="等线"/>
                <w:color w:val="000000"/>
                <w:sz w:val="22"/>
                <w:szCs w:val="22"/>
              </w:rPr>
            </w:pPr>
            <w:r>
              <w:rPr>
                <w:rFonts w:ascii="宋体" w:eastAsia="宋体" w:cs="宋体"/>
                <w:color w:val="000000"/>
                <w:sz w:val="20"/>
                <w:szCs w:val="20"/>
              </w:rPr>
              <w:t>0</w:t>
            </w:r>
          </w:p>
        </w:tc>
      </w:tr>
    </w:tbl>
    <w:p>
      <w:pPr>
        <w:spacing w:line="560" w:lineRule="exact"/>
        <w:rPr>
          <w:rFonts w:ascii="黑体" w:hAnsi="黑体" w:eastAsia="黑体" w:cs="黑体"/>
        </w:rPr>
      </w:pPr>
      <w:r>
        <w:rPr>
          <w:rFonts w:ascii="黑体" w:hAnsi="黑体" w:eastAsia="黑体" w:cs="黑体"/>
        </w:rPr>
        <w:t xml:space="preserve">    </w:t>
      </w:r>
      <w:r>
        <w:rPr>
          <w:rFonts w:hint="eastAsia" w:ascii="黑体" w:hAnsi="黑体" w:eastAsia="黑体" w:cs="黑体"/>
        </w:rPr>
        <w:t>三、收到和处理政府信息公开申请情况</w:t>
      </w:r>
    </w:p>
    <w:tbl>
      <w:tblPr>
        <w:tblStyle w:val="4"/>
        <w:tblW w:w="10205" w:type="dxa"/>
        <w:jc w:val="center"/>
        <w:tblLayout w:type="fixed"/>
        <w:tblCellMar>
          <w:top w:w="15" w:type="dxa"/>
          <w:left w:w="15" w:type="dxa"/>
          <w:bottom w:w="15" w:type="dxa"/>
          <w:right w:w="15" w:type="dxa"/>
        </w:tblCellMar>
      </w:tblPr>
      <w:tblGrid>
        <w:gridCol w:w="676"/>
        <w:gridCol w:w="1129"/>
        <w:gridCol w:w="2625"/>
        <w:gridCol w:w="876"/>
        <w:gridCol w:w="831"/>
        <w:gridCol w:w="719"/>
        <w:gridCol w:w="858"/>
        <w:gridCol w:w="848"/>
        <w:gridCol w:w="831"/>
        <w:gridCol w:w="812"/>
      </w:tblGrid>
      <w:tr>
        <w:tblPrEx>
          <w:tblCellMar>
            <w:top w:w="15" w:type="dxa"/>
            <w:left w:w="15" w:type="dxa"/>
            <w:bottom w:w="15" w:type="dxa"/>
            <w:right w:w="15" w:type="dxa"/>
          </w:tblCellMar>
        </w:tblPrEx>
        <w:trPr>
          <w:trHeight w:val="506" w:hRule="atLeast"/>
          <w:jc w:val="center"/>
        </w:trPr>
        <w:tc>
          <w:tcPr>
            <w:tcW w:w="3178" w:type="dxa"/>
            <w:gridSpan w:val="3"/>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（本列数据的勾稽关系为：第一项加第二项之和，等于第三项加第四项之和）</w:t>
            </w:r>
          </w:p>
        </w:tc>
        <w:tc>
          <w:tcPr>
            <w:tcW w:w="4141" w:type="dxa"/>
            <w:gridSpan w:val="7"/>
            <w:tcBorders>
              <w:top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申请人情况</w:t>
            </w:r>
          </w:p>
        </w:tc>
      </w:tr>
      <w:tr>
        <w:tblPrEx>
          <w:tblCellMar>
            <w:top w:w="15" w:type="dxa"/>
            <w:left w:w="15" w:type="dxa"/>
            <w:bottom w:w="15" w:type="dxa"/>
            <w:right w:w="15" w:type="dxa"/>
          </w:tblCellMar>
        </w:tblPrEx>
        <w:trPr>
          <w:trHeight w:val="506" w:hRule="atLeast"/>
          <w:jc w:val="center"/>
        </w:trPr>
        <w:tc>
          <w:tcPr>
            <w:tcW w:w="3178" w:type="dxa"/>
            <w:gridSpan w:val="3"/>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ascii="楷体" w:hAnsi="楷体" w:eastAsia="楷体" w:cs="楷体"/>
                <w:color w:val="000000"/>
                <w:sz w:val="20"/>
                <w:szCs w:val="20"/>
              </w:rPr>
            </w:pPr>
          </w:p>
        </w:tc>
        <w:tc>
          <w:tcPr>
            <w:tcW w:w="628" w:type="dxa"/>
            <w:vMerge w:val="restart"/>
            <w:tcBorders>
              <w:bottom w:val="single" w:color="000000" w:sz="12" w:space="0"/>
              <w:right w:val="single" w:color="000000" w:sz="12"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自然人</w:t>
            </w:r>
          </w:p>
        </w:tc>
        <w:tc>
          <w:tcPr>
            <w:tcW w:w="2931" w:type="dxa"/>
            <w:gridSpan w:val="5"/>
            <w:tcBorders>
              <w:top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法人或其他组织</w:t>
            </w:r>
          </w:p>
        </w:tc>
        <w:tc>
          <w:tcPr>
            <w:tcW w:w="582"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总计</w:t>
            </w:r>
          </w:p>
        </w:tc>
      </w:tr>
      <w:tr>
        <w:tblPrEx>
          <w:tblCellMar>
            <w:top w:w="15" w:type="dxa"/>
            <w:left w:w="15" w:type="dxa"/>
            <w:bottom w:w="15" w:type="dxa"/>
            <w:right w:w="15" w:type="dxa"/>
          </w:tblCellMar>
        </w:tblPrEx>
        <w:trPr>
          <w:trHeight w:val="506" w:hRule="atLeast"/>
          <w:jc w:val="center"/>
        </w:trPr>
        <w:tc>
          <w:tcPr>
            <w:tcW w:w="3178" w:type="dxa"/>
            <w:gridSpan w:val="3"/>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ascii="楷体" w:hAnsi="楷体" w:eastAsia="楷体" w:cs="楷体"/>
                <w:color w:val="000000"/>
                <w:sz w:val="20"/>
                <w:szCs w:val="20"/>
              </w:rPr>
            </w:pPr>
          </w:p>
        </w:tc>
        <w:tc>
          <w:tcPr>
            <w:tcW w:w="628" w:type="dxa"/>
            <w:vMerge w:val="continue"/>
            <w:tcBorders>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96" w:type="dxa"/>
            <w:tcBorders>
              <w:right w:val="single" w:color="000000" w:sz="12"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商业</w:t>
            </w:r>
          </w:p>
        </w:tc>
        <w:tc>
          <w:tcPr>
            <w:tcW w:w="516" w:type="dxa"/>
            <w:tcBorders>
              <w:right w:val="single" w:color="000000" w:sz="12"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科研</w:t>
            </w:r>
          </w:p>
        </w:tc>
        <w:tc>
          <w:tcPr>
            <w:tcW w:w="615"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社会</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公益</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组织</w:t>
            </w:r>
          </w:p>
        </w:tc>
        <w:tc>
          <w:tcPr>
            <w:tcW w:w="608"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法律</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机构</w:t>
            </w:r>
          </w:p>
        </w:tc>
        <w:tc>
          <w:tcPr>
            <w:tcW w:w="596"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w:t>
            </w:r>
          </w:p>
        </w:tc>
        <w:tc>
          <w:tcPr>
            <w:tcW w:w="582"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70" w:hRule="atLeast"/>
          <w:jc w:val="center"/>
        </w:trPr>
        <w:tc>
          <w:tcPr>
            <w:tcW w:w="3178" w:type="dxa"/>
            <w:gridSpan w:val="3"/>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ascii="楷体" w:hAnsi="楷体" w:eastAsia="楷体" w:cs="楷体"/>
                <w:color w:val="000000"/>
                <w:sz w:val="20"/>
                <w:szCs w:val="20"/>
              </w:rPr>
            </w:pPr>
          </w:p>
        </w:tc>
        <w:tc>
          <w:tcPr>
            <w:tcW w:w="628" w:type="dxa"/>
            <w:vMerge w:val="continue"/>
            <w:tcBorders>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96" w:type="dxa"/>
            <w:tcBorders>
              <w:bottom w:val="single" w:color="000000" w:sz="12" w:space="0"/>
              <w:right w:val="single" w:color="000000" w:sz="12"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企业</w:t>
            </w:r>
          </w:p>
        </w:tc>
        <w:tc>
          <w:tcPr>
            <w:tcW w:w="516" w:type="dxa"/>
            <w:tcBorders>
              <w:bottom w:val="single" w:color="000000" w:sz="12" w:space="0"/>
              <w:right w:val="single" w:color="000000" w:sz="12"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机构</w:t>
            </w:r>
          </w:p>
        </w:tc>
        <w:tc>
          <w:tcPr>
            <w:tcW w:w="615"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608"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96"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82"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05" w:hRule="atLeast"/>
          <w:jc w:val="center"/>
        </w:trPr>
        <w:tc>
          <w:tcPr>
            <w:tcW w:w="3178" w:type="dxa"/>
            <w:gridSpan w:val="3"/>
            <w:tcBorders>
              <w:left w:val="single" w:color="000000" w:sz="12" w:space="0"/>
              <w:bottom w:val="single" w:color="000000" w:sz="12" w:space="0"/>
              <w:right w:val="single" w:color="000000" w:sz="12"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一、本年新收政府信息公开申请数量</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590" w:hRule="atLeast"/>
          <w:jc w:val="center"/>
        </w:trPr>
        <w:tc>
          <w:tcPr>
            <w:tcW w:w="3178" w:type="dxa"/>
            <w:gridSpan w:val="3"/>
            <w:tcBorders>
              <w:left w:val="single" w:color="000000" w:sz="12" w:space="0"/>
              <w:bottom w:val="single" w:color="000000" w:sz="12" w:space="0"/>
              <w:right w:val="single" w:color="000000" w:sz="12"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二、上年结转政府信息公开申请数量</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506" w:hRule="atLeast"/>
          <w:jc w:val="center"/>
        </w:trPr>
        <w:tc>
          <w:tcPr>
            <w:tcW w:w="485" w:type="dxa"/>
            <w:vMerge w:val="restart"/>
            <w:tcBorders>
              <w:left w:val="single" w:color="000000" w:sz="12" w:space="0"/>
              <w:bottom w:val="single" w:color="000000" w:sz="12" w:space="0"/>
              <w:right w:val="single" w:color="000000" w:sz="12"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三、本年度办理结果</w:t>
            </w:r>
          </w:p>
        </w:tc>
        <w:tc>
          <w:tcPr>
            <w:tcW w:w="2693" w:type="dxa"/>
            <w:gridSpan w:val="2"/>
            <w:tcBorders>
              <w:bottom w:val="single" w:color="000000" w:sz="12" w:space="0"/>
              <w:right w:val="single" w:color="000000" w:sz="12"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（一）予以公开</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top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2693" w:type="dxa"/>
            <w:gridSpan w:val="2"/>
            <w:tcBorders>
              <w:bottom w:val="single" w:color="000000" w:sz="12" w:space="0"/>
              <w:right w:val="single" w:color="000000" w:sz="12" w:space="0"/>
            </w:tcBorders>
            <w:vAlign w:val="center"/>
          </w:tcPr>
          <w:p>
            <w:pPr>
              <w:widowControl/>
              <w:jc w:val="left"/>
              <w:textAlignment w:val="center"/>
              <w:rPr>
                <w:rFonts w:ascii="宋体" w:hAnsi="宋体" w:eastAsia="宋体" w:cs="宋体"/>
                <w:color w:val="000000"/>
                <w:sz w:val="20"/>
                <w:szCs w:val="20"/>
              </w:rPr>
            </w:pPr>
            <w:r>
              <w:rPr>
                <w:rStyle w:val="10"/>
                <w:rFonts w:hint="eastAsia"/>
              </w:rPr>
              <w:t>（二）部分公开</w:t>
            </w:r>
            <w:r>
              <w:rPr>
                <w:rFonts w:hint="eastAsia" w:ascii="楷体" w:hAnsi="楷体" w:eastAsia="楷体" w:cs="楷体"/>
                <w:color w:val="000000"/>
                <w:kern w:val="0"/>
                <w:sz w:val="20"/>
                <w:szCs w:val="20"/>
              </w:rPr>
              <w:t>（区分处理的，只计这一情形，不计其他情形）</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60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restart"/>
            <w:tcBorders>
              <w:bottom w:val="single" w:color="000000" w:sz="12" w:space="0"/>
              <w:right w:val="single" w:color="000000" w:sz="12"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（三）不予公开</w:t>
            </w:r>
          </w:p>
        </w:tc>
        <w:tc>
          <w:tcPr>
            <w:tcW w:w="1883" w:type="dxa"/>
            <w:tcBorders>
              <w:bottom w:val="single" w:color="000000" w:sz="12" w:space="0"/>
              <w:right w:val="single" w:color="000000" w:sz="12" w:space="0"/>
            </w:tcBorders>
          </w:tcPr>
          <w:p>
            <w:pPr>
              <w:widowControl/>
              <w:jc w:val="left"/>
              <w:textAlignment w:val="top"/>
              <w:rPr>
                <w:rFonts w:ascii="宋体" w:hAnsi="宋体" w:eastAsia="宋体" w:cs="宋体"/>
                <w:color w:val="000000"/>
                <w:sz w:val="20"/>
                <w:szCs w:val="20"/>
              </w:rPr>
            </w:pPr>
            <w:r>
              <w:rPr>
                <w:rFonts w:ascii="宋体" w:hAnsi="宋体" w:eastAsia="宋体" w:cs="宋体"/>
                <w:color w:val="000000"/>
                <w:kern w:val="0"/>
                <w:sz w:val="20"/>
                <w:szCs w:val="20"/>
              </w:rPr>
              <w:t>1.</w:t>
            </w:r>
            <w:r>
              <w:rPr>
                <w:rFonts w:hint="eastAsia" w:ascii="宋体" w:hAnsi="宋体" w:eastAsia="宋体" w:cs="宋体"/>
                <w:color w:val="000000"/>
                <w:kern w:val="0"/>
                <w:sz w:val="20"/>
                <w:szCs w:val="20"/>
              </w:rPr>
              <w:t>属于国家秘密</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top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continue"/>
            <w:tcBorders>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1883" w:type="dxa"/>
            <w:tcBorders>
              <w:bottom w:val="single" w:color="000000" w:sz="12" w:space="0"/>
              <w:right w:val="single" w:color="000000" w:sz="12" w:space="0"/>
            </w:tcBorders>
          </w:tcPr>
          <w:p>
            <w:pPr>
              <w:widowControl/>
              <w:jc w:val="left"/>
              <w:textAlignment w:val="top"/>
              <w:rPr>
                <w:rFonts w:ascii="宋体" w:hAnsi="宋体" w:eastAsia="宋体" w:cs="宋体"/>
                <w:color w:val="000000"/>
                <w:sz w:val="20"/>
                <w:szCs w:val="20"/>
              </w:rPr>
            </w:pPr>
            <w:r>
              <w:rPr>
                <w:rFonts w:ascii="宋体" w:hAnsi="宋体" w:eastAsia="宋体" w:cs="宋体"/>
                <w:color w:val="000000"/>
                <w:kern w:val="0"/>
                <w:sz w:val="20"/>
                <w:szCs w:val="20"/>
              </w:rPr>
              <w:t>2.</w:t>
            </w:r>
            <w:r>
              <w:rPr>
                <w:rFonts w:hint="eastAsia" w:ascii="宋体" w:hAnsi="宋体" w:eastAsia="宋体" w:cs="宋体"/>
                <w:color w:val="000000"/>
                <w:kern w:val="0"/>
                <w:sz w:val="20"/>
                <w:szCs w:val="20"/>
              </w:rPr>
              <w:t>其他法律行政法规禁止公开</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continue"/>
            <w:tcBorders>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1883" w:type="dxa"/>
            <w:tcBorders>
              <w:bottom w:val="single" w:color="000000" w:sz="12" w:space="0"/>
              <w:right w:val="single" w:color="000000" w:sz="12" w:space="0"/>
            </w:tcBorders>
          </w:tcPr>
          <w:p>
            <w:pPr>
              <w:widowControl/>
              <w:jc w:val="left"/>
              <w:textAlignment w:val="top"/>
              <w:rPr>
                <w:rFonts w:ascii="宋体" w:hAnsi="宋体" w:eastAsia="宋体" w:cs="宋体"/>
                <w:color w:val="000000"/>
                <w:sz w:val="20"/>
                <w:szCs w:val="20"/>
              </w:rPr>
            </w:pPr>
            <w:r>
              <w:rPr>
                <w:rFonts w:ascii="宋体" w:hAnsi="宋体" w:eastAsia="宋体" w:cs="宋体"/>
                <w:color w:val="000000"/>
                <w:kern w:val="0"/>
                <w:sz w:val="20"/>
                <w:szCs w:val="20"/>
              </w:rPr>
              <w:t>3.</w:t>
            </w:r>
            <w:r>
              <w:rPr>
                <w:rFonts w:hint="eastAsia" w:ascii="宋体" w:hAnsi="宋体" w:eastAsia="宋体" w:cs="宋体"/>
                <w:color w:val="000000"/>
                <w:kern w:val="0"/>
                <w:sz w:val="20"/>
                <w:szCs w:val="20"/>
              </w:rPr>
              <w:t>危及“三安全一稳定”</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71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continue"/>
            <w:tcBorders>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1883" w:type="dxa"/>
            <w:tcBorders>
              <w:bottom w:val="single" w:color="000000" w:sz="12" w:space="0"/>
              <w:right w:val="single" w:color="000000" w:sz="12" w:space="0"/>
            </w:tcBorders>
          </w:tcPr>
          <w:p>
            <w:pPr>
              <w:widowControl/>
              <w:jc w:val="left"/>
              <w:textAlignment w:val="top"/>
              <w:rPr>
                <w:rFonts w:ascii="宋体" w:hAnsi="宋体" w:eastAsia="宋体" w:cs="宋体"/>
                <w:color w:val="000000"/>
                <w:sz w:val="20"/>
                <w:szCs w:val="20"/>
              </w:rPr>
            </w:pPr>
            <w:r>
              <w:rPr>
                <w:rFonts w:ascii="宋体" w:hAnsi="宋体" w:eastAsia="宋体" w:cs="宋体"/>
                <w:color w:val="000000"/>
                <w:kern w:val="0"/>
                <w:sz w:val="20"/>
                <w:szCs w:val="20"/>
              </w:rPr>
              <w:t>4.</w:t>
            </w:r>
            <w:r>
              <w:rPr>
                <w:rFonts w:hint="eastAsia" w:ascii="宋体" w:hAnsi="宋体" w:eastAsia="宋体" w:cs="宋体"/>
                <w:color w:val="000000"/>
                <w:kern w:val="0"/>
                <w:sz w:val="20"/>
                <w:szCs w:val="20"/>
              </w:rPr>
              <w:t>保护第三方合法权益</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continue"/>
            <w:tcBorders>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1883" w:type="dxa"/>
            <w:tcBorders>
              <w:bottom w:val="single" w:color="000000" w:sz="12" w:space="0"/>
              <w:right w:val="single" w:color="000000" w:sz="12" w:space="0"/>
            </w:tcBorders>
          </w:tcPr>
          <w:p>
            <w:pPr>
              <w:widowControl/>
              <w:jc w:val="left"/>
              <w:textAlignment w:val="top"/>
              <w:rPr>
                <w:rFonts w:ascii="宋体" w:hAnsi="宋体" w:eastAsia="宋体" w:cs="宋体"/>
                <w:color w:val="000000"/>
                <w:sz w:val="20"/>
                <w:szCs w:val="20"/>
              </w:rPr>
            </w:pP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属于三类内部事务信息</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continue"/>
            <w:tcBorders>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1883" w:type="dxa"/>
            <w:tcBorders>
              <w:bottom w:val="single" w:color="000000" w:sz="12" w:space="0"/>
              <w:right w:val="single" w:color="000000" w:sz="12" w:space="0"/>
            </w:tcBorders>
          </w:tcPr>
          <w:p>
            <w:pPr>
              <w:widowControl/>
              <w:jc w:val="left"/>
              <w:textAlignment w:val="top"/>
              <w:rPr>
                <w:rFonts w:ascii="宋体" w:hAnsi="宋体" w:eastAsia="宋体" w:cs="宋体"/>
                <w:color w:val="000000"/>
                <w:sz w:val="20"/>
                <w:szCs w:val="20"/>
              </w:rPr>
            </w:pPr>
            <w:r>
              <w:rPr>
                <w:rFonts w:ascii="宋体" w:hAnsi="宋体" w:eastAsia="宋体" w:cs="宋体"/>
                <w:color w:val="000000"/>
                <w:kern w:val="0"/>
                <w:sz w:val="20"/>
                <w:szCs w:val="20"/>
              </w:rPr>
              <w:t>6.</w:t>
            </w:r>
            <w:r>
              <w:rPr>
                <w:rFonts w:hint="eastAsia" w:ascii="宋体" w:hAnsi="宋体" w:eastAsia="宋体" w:cs="宋体"/>
                <w:color w:val="000000"/>
                <w:kern w:val="0"/>
                <w:sz w:val="20"/>
                <w:szCs w:val="20"/>
              </w:rPr>
              <w:t>属于四类过程性信息</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50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continue"/>
            <w:tcBorders>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1883" w:type="dxa"/>
            <w:tcBorders>
              <w:bottom w:val="single" w:color="000000" w:sz="12" w:space="0"/>
              <w:right w:val="single" w:color="000000" w:sz="12" w:space="0"/>
            </w:tcBorders>
          </w:tcPr>
          <w:p>
            <w:pPr>
              <w:widowControl/>
              <w:jc w:val="left"/>
              <w:textAlignment w:val="top"/>
              <w:rPr>
                <w:rFonts w:ascii="宋体" w:hAnsi="宋体" w:eastAsia="宋体" w:cs="宋体"/>
                <w:color w:val="000000"/>
                <w:sz w:val="20"/>
                <w:szCs w:val="20"/>
              </w:rPr>
            </w:pPr>
            <w:r>
              <w:rPr>
                <w:rFonts w:ascii="宋体" w:hAnsi="宋体" w:eastAsia="宋体" w:cs="宋体"/>
                <w:color w:val="000000"/>
                <w:kern w:val="0"/>
                <w:sz w:val="20"/>
                <w:szCs w:val="20"/>
              </w:rPr>
              <w:t>7.</w:t>
            </w:r>
            <w:r>
              <w:rPr>
                <w:rFonts w:hint="eastAsia" w:ascii="宋体" w:hAnsi="宋体" w:eastAsia="宋体" w:cs="宋体"/>
                <w:color w:val="000000"/>
                <w:kern w:val="0"/>
                <w:sz w:val="20"/>
                <w:szCs w:val="20"/>
              </w:rPr>
              <w:t>属于行政执法案卷</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50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continue"/>
            <w:tcBorders>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1883" w:type="dxa"/>
            <w:tcBorders>
              <w:bottom w:val="single" w:color="000000" w:sz="12" w:space="0"/>
              <w:right w:val="single" w:color="000000" w:sz="12" w:space="0"/>
            </w:tcBorders>
          </w:tcPr>
          <w:p>
            <w:pPr>
              <w:widowControl/>
              <w:jc w:val="left"/>
              <w:textAlignment w:val="top"/>
              <w:rPr>
                <w:rFonts w:ascii="宋体" w:hAnsi="宋体" w:eastAsia="宋体" w:cs="宋体"/>
                <w:color w:val="000000"/>
                <w:sz w:val="20"/>
                <w:szCs w:val="20"/>
              </w:rPr>
            </w:pPr>
            <w:r>
              <w:rPr>
                <w:rFonts w:ascii="宋体" w:hAnsi="宋体" w:eastAsia="宋体" w:cs="宋体"/>
                <w:color w:val="000000"/>
                <w:kern w:val="0"/>
                <w:sz w:val="20"/>
                <w:szCs w:val="20"/>
              </w:rPr>
              <w:t>8.</w:t>
            </w:r>
            <w:r>
              <w:rPr>
                <w:rFonts w:hint="eastAsia" w:ascii="宋体" w:hAnsi="宋体" w:eastAsia="宋体" w:cs="宋体"/>
                <w:color w:val="000000"/>
                <w:kern w:val="0"/>
                <w:sz w:val="20"/>
                <w:szCs w:val="20"/>
              </w:rPr>
              <w:t>属于行政查询事项</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restart"/>
            <w:tcBorders>
              <w:bottom w:val="single" w:color="000000" w:sz="12" w:space="0"/>
              <w:right w:val="single" w:color="000000" w:sz="12"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（四）无法提供</w:t>
            </w:r>
          </w:p>
        </w:tc>
        <w:tc>
          <w:tcPr>
            <w:tcW w:w="1883" w:type="dxa"/>
            <w:tcBorders>
              <w:bottom w:val="single" w:color="000000" w:sz="12" w:space="0"/>
              <w:right w:val="single" w:color="000000" w:sz="12" w:space="0"/>
            </w:tcBorders>
          </w:tcPr>
          <w:p>
            <w:pPr>
              <w:widowControl/>
              <w:jc w:val="left"/>
              <w:textAlignment w:val="top"/>
              <w:rPr>
                <w:rFonts w:ascii="宋体" w:hAnsi="宋体" w:eastAsia="宋体" w:cs="宋体"/>
                <w:color w:val="000000"/>
                <w:sz w:val="20"/>
                <w:szCs w:val="20"/>
              </w:rPr>
            </w:pPr>
            <w:r>
              <w:rPr>
                <w:rFonts w:ascii="宋体" w:hAnsi="宋体" w:eastAsia="宋体" w:cs="宋体"/>
                <w:color w:val="000000"/>
                <w:kern w:val="0"/>
                <w:sz w:val="20"/>
                <w:szCs w:val="20"/>
              </w:rPr>
              <w:t>1.</w:t>
            </w:r>
            <w:r>
              <w:rPr>
                <w:rFonts w:hint="eastAsia" w:ascii="宋体" w:hAnsi="宋体" w:eastAsia="宋体" w:cs="宋体"/>
                <w:color w:val="000000"/>
                <w:kern w:val="0"/>
                <w:sz w:val="20"/>
                <w:szCs w:val="20"/>
              </w:rPr>
              <w:t>本机关不掌握相关政府信息</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continue"/>
            <w:tcBorders>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1883" w:type="dxa"/>
            <w:tcBorders>
              <w:bottom w:val="single" w:color="000000" w:sz="12" w:space="0"/>
              <w:right w:val="single" w:color="000000" w:sz="12" w:space="0"/>
            </w:tcBorders>
          </w:tcPr>
          <w:p>
            <w:pPr>
              <w:widowControl/>
              <w:jc w:val="left"/>
              <w:textAlignment w:val="top"/>
              <w:rPr>
                <w:rFonts w:ascii="宋体" w:hAnsi="宋体" w:eastAsia="宋体" w:cs="宋体"/>
                <w:color w:val="000000"/>
                <w:sz w:val="20"/>
                <w:szCs w:val="20"/>
              </w:rPr>
            </w:pPr>
            <w:r>
              <w:rPr>
                <w:rFonts w:ascii="宋体" w:hAnsi="宋体" w:eastAsia="宋体" w:cs="宋体"/>
                <w:color w:val="000000"/>
                <w:kern w:val="0"/>
                <w:sz w:val="20"/>
                <w:szCs w:val="20"/>
              </w:rPr>
              <w:t>2.</w:t>
            </w:r>
            <w:r>
              <w:rPr>
                <w:rFonts w:hint="eastAsia" w:ascii="宋体" w:hAnsi="宋体" w:eastAsia="宋体" w:cs="宋体"/>
                <w:color w:val="000000"/>
                <w:kern w:val="0"/>
                <w:sz w:val="20"/>
                <w:szCs w:val="20"/>
              </w:rPr>
              <w:t>没有现成信息需要另行制作</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continue"/>
            <w:tcBorders>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1883" w:type="dxa"/>
            <w:tcBorders>
              <w:top w:val="single" w:color="000000" w:sz="12" w:space="0"/>
              <w:left w:val="single" w:color="000000" w:sz="12" w:space="0"/>
              <w:bottom w:val="single" w:color="000000" w:sz="12" w:space="0"/>
              <w:right w:val="single" w:color="000000" w:sz="12" w:space="0"/>
            </w:tcBorders>
          </w:tcPr>
          <w:p>
            <w:pPr>
              <w:widowControl/>
              <w:jc w:val="left"/>
              <w:textAlignment w:val="top"/>
              <w:rPr>
                <w:rFonts w:ascii="宋体" w:hAnsi="宋体" w:eastAsia="宋体" w:cs="宋体"/>
                <w:color w:val="000000"/>
                <w:sz w:val="20"/>
                <w:szCs w:val="20"/>
              </w:rPr>
            </w:pPr>
            <w:r>
              <w:rPr>
                <w:rFonts w:ascii="宋体" w:hAnsi="宋体" w:eastAsia="宋体" w:cs="宋体"/>
                <w:color w:val="000000"/>
                <w:kern w:val="0"/>
                <w:sz w:val="20"/>
                <w:szCs w:val="20"/>
              </w:rPr>
              <w:t>3.</w:t>
            </w:r>
            <w:r>
              <w:rPr>
                <w:rFonts w:hint="eastAsia" w:ascii="宋体" w:hAnsi="宋体" w:eastAsia="宋体" w:cs="宋体"/>
                <w:color w:val="000000"/>
                <w:kern w:val="0"/>
                <w:sz w:val="20"/>
                <w:szCs w:val="20"/>
              </w:rPr>
              <w:t>补正后申请内容仍不明确</w:t>
            </w:r>
          </w:p>
        </w:tc>
        <w:tc>
          <w:tcPr>
            <w:tcW w:w="628"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restart"/>
            <w:tcBorders>
              <w:bottom w:val="single" w:color="000000" w:sz="12" w:space="0"/>
              <w:right w:val="single" w:color="000000" w:sz="12"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（五）不予处理</w:t>
            </w:r>
          </w:p>
        </w:tc>
        <w:tc>
          <w:tcPr>
            <w:tcW w:w="1883" w:type="dxa"/>
            <w:tcBorders>
              <w:top w:val="single" w:color="000000" w:sz="12" w:space="0"/>
              <w:bottom w:val="single" w:color="000000" w:sz="12" w:space="0"/>
              <w:right w:val="single" w:color="000000" w:sz="12" w:space="0"/>
            </w:tcBorders>
          </w:tcPr>
          <w:p>
            <w:pPr>
              <w:widowControl/>
              <w:jc w:val="left"/>
              <w:textAlignment w:val="top"/>
              <w:rPr>
                <w:rFonts w:ascii="宋体" w:hAnsi="宋体" w:eastAsia="宋体" w:cs="宋体"/>
                <w:color w:val="000000"/>
                <w:sz w:val="20"/>
                <w:szCs w:val="20"/>
              </w:rPr>
            </w:pPr>
            <w:r>
              <w:rPr>
                <w:rFonts w:ascii="宋体" w:hAnsi="宋体" w:eastAsia="宋体" w:cs="宋体"/>
                <w:color w:val="000000"/>
                <w:kern w:val="0"/>
                <w:sz w:val="20"/>
                <w:szCs w:val="20"/>
              </w:rPr>
              <w:t>1.</w:t>
            </w:r>
            <w:r>
              <w:rPr>
                <w:rFonts w:hint="eastAsia" w:ascii="宋体" w:hAnsi="宋体" w:eastAsia="宋体" w:cs="宋体"/>
                <w:color w:val="000000"/>
                <w:kern w:val="0"/>
                <w:sz w:val="20"/>
                <w:szCs w:val="20"/>
              </w:rPr>
              <w:t>信访举报投诉类申请</w:t>
            </w:r>
          </w:p>
        </w:tc>
        <w:tc>
          <w:tcPr>
            <w:tcW w:w="628" w:type="dxa"/>
            <w:tcBorders>
              <w:top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top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top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top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top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top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top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50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continue"/>
            <w:tcBorders>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1883" w:type="dxa"/>
            <w:tcBorders>
              <w:bottom w:val="single" w:color="000000" w:sz="12" w:space="0"/>
              <w:right w:val="single" w:color="000000" w:sz="12" w:space="0"/>
            </w:tcBorders>
          </w:tcPr>
          <w:p>
            <w:pPr>
              <w:widowControl/>
              <w:jc w:val="left"/>
              <w:textAlignment w:val="top"/>
              <w:rPr>
                <w:rFonts w:ascii="宋体" w:hAnsi="宋体" w:eastAsia="宋体" w:cs="宋体"/>
                <w:color w:val="000000"/>
                <w:sz w:val="20"/>
                <w:szCs w:val="20"/>
              </w:rPr>
            </w:pPr>
            <w:r>
              <w:rPr>
                <w:rFonts w:ascii="宋体" w:hAnsi="宋体" w:eastAsia="宋体" w:cs="宋体"/>
                <w:color w:val="000000"/>
                <w:kern w:val="0"/>
                <w:sz w:val="20"/>
                <w:szCs w:val="20"/>
              </w:rPr>
              <w:t>2.</w:t>
            </w:r>
            <w:r>
              <w:rPr>
                <w:rFonts w:hint="eastAsia" w:ascii="宋体" w:hAnsi="宋体" w:eastAsia="宋体" w:cs="宋体"/>
                <w:color w:val="000000"/>
                <w:kern w:val="0"/>
                <w:sz w:val="20"/>
                <w:szCs w:val="20"/>
              </w:rPr>
              <w:t>重复申请</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continue"/>
            <w:tcBorders>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1883" w:type="dxa"/>
            <w:tcBorders>
              <w:bottom w:val="single" w:color="000000" w:sz="12" w:space="0"/>
              <w:right w:val="single" w:color="000000" w:sz="12" w:space="0"/>
            </w:tcBorders>
          </w:tcPr>
          <w:p>
            <w:pPr>
              <w:widowControl/>
              <w:jc w:val="left"/>
              <w:textAlignment w:val="top"/>
              <w:rPr>
                <w:rFonts w:ascii="宋体" w:hAnsi="宋体" w:eastAsia="宋体" w:cs="宋体"/>
                <w:color w:val="000000"/>
                <w:sz w:val="20"/>
                <w:szCs w:val="20"/>
              </w:rPr>
            </w:pPr>
            <w:r>
              <w:rPr>
                <w:rFonts w:ascii="宋体" w:hAnsi="宋体" w:eastAsia="宋体" w:cs="宋体"/>
                <w:color w:val="000000"/>
                <w:kern w:val="0"/>
                <w:sz w:val="20"/>
                <w:szCs w:val="20"/>
              </w:rPr>
              <w:t>3.</w:t>
            </w:r>
            <w:r>
              <w:rPr>
                <w:rFonts w:hint="eastAsia" w:ascii="宋体" w:hAnsi="宋体" w:eastAsia="宋体" w:cs="宋体"/>
                <w:color w:val="000000"/>
                <w:kern w:val="0"/>
                <w:sz w:val="20"/>
                <w:szCs w:val="20"/>
              </w:rPr>
              <w:t>要求提供公开出版物</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continue"/>
            <w:tcBorders>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1883" w:type="dxa"/>
            <w:tcBorders>
              <w:bottom w:val="single" w:color="000000" w:sz="12" w:space="0"/>
              <w:right w:val="single" w:color="000000" w:sz="12" w:space="0"/>
            </w:tcBorders>
          </w:tcPr>
          <w:p>
            <w:pPr>
              <w:widowControl/>
              <w:jc w:val="left"/>
              <w:textAlignment w:val="top"/>
              <w:rPr>
                <w:rFonts w:ascii="宋体" w:hAnsi="宋体" w:eastAsia="宋体" w:cs="宋体"/>
                <w:color w:val="000000"/>
                <w:sz w:val="20"/>
                <w:szCs w:val="20"/>
              </w:rPr>
            </w:pPr>
            <w:r>
              <w:rPr>
                <w:rFonts w:ascii="宋体" w:hAnsi="宋体" w:eastAsia="宋体" w:cs="宋体"/>
                <w:color w:val="000000"/>
                <w:kern w:val="0"/>
                <w:sz w:val="20"/>
                <w:szCs w:val="20"/>
              </w:rPr>
              <w:t>4.</w:t>
            </w:r>
            <w:r>
              <w:rPr>
                <w:rFonts w:hint="eastAsia" w:ascii="宋体" w:hAnsi="宋体" w:eastAsia="宋体" w:cs="宋体"/>
                <w:color w:val="000000"/>
                <w:kern w:val="0"/>
                <w:sz w:val="20"/>
                <w:szCs w:val="20"/>
              </w:rPr>
              <w:t>无正当理由大量反复申请</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1059"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continue"/>
            <w:tcBorders>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1883" w:type="dxa"/>
            <w:tcBorders>
              <w:bottom w:val="single" w:color="000000" w:sz="12" w:space="0"/>
              <w:right w:val="single" w:color="000000" w:sz="12" w:space="0"/>
            </w:tcBorders>
            <w:vAlign w:val="center"/>
          </w:tcPr>
          <w:p>
            <w:pPr>
              <w:widowControl/>
              <w:textAlignment w:val="center"/>
              <w:rPr>
                <w:rFonts w:ascii="宋体" w:hAnsi="宋体" w:eastAsia="宋体" w:cs="宋体"/>
                <w:color w:val="000000"/>
                <w:sz w:val="20"/>
                <w:szCs w:val="20"/>
              </w:rPr>
            </w:pP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要求行政机关确认或重新出具已获取信息</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135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r>
              <w:rPr>
                <w:rFonts w:ascii="宋体" w:eastAsia="宋体" w:cs="宋体"/>
                <w:color w:val="000000"/>
                <w:sz w:val="20"/>
                <w:szCs w:val="20"/>
              </w:rPr>
              <w:t>0</w:t>
            </w:r>
          </w:p>
        </w:tc>
        <w:tc>
          <w:tcPr>
            <w:tcW w:w="810" w:type="dxa"/>
            <w:vMerge w:val="restart"/>
            <w:tcBorders>
              <w:bottom w:val="single" w:color="000000" w:sz="12" w:space="0"/>
              <w:right w:val="single" w:color="000000" w:sz="12"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（六）其他处理</w:t>
            </w:r>
          </w:p>
        </w:tc>
        <w:tc>
          <w:tcPr>
            <w:tcW w:w="1883" w:type="dxa"/>
            <w:tcBorders>
              <w:bottom w:val="single" w:color="000000" w:sz="12" w:space="0"/>
              <w:right w:val="single" w:color="000000" w:sz="12" w:space="0"/>
            </w:tcBorders>
            <w:vAlign w:val="center"/>
          </w:tcPr>
          <w:p>
            <w:pPr>
              <w:widowControl/>
              <w:textAlignment w:val="center"/>
              <w:rPr>
                <w:rFonts w:ascii="宋体" w:hAnsi="宋体" w:eastAsia="宋体" w:cs="宋体"/>
                <w:color w:val="000000"/>
                <w:sz w:val="20"/>
                <w:szCs w:val="20"/>
              </w:rPr>
            </w:pPr>
            <w:r>
              <w:rPr>
                <w:rFonts w:ascii="宋体" w:hAnsi="宋体" w:eastAsia="宋体" w:cs="宋体"/>
                <w:color w:val="000000"/>
                <w:kern w:val="0"/>
                <w:sz w:val="20"/>
                <w:szCs w:val="20"/>
              </w:rPr>
              <w:t>1.</w:t>
            </w:r>
            <w:r>
              <w:rPr>
                <w:rFonts w:hint="eastAsia" w:ascii="宋体" w:hAnsi="宋体" w:eastAsia="宋体" w:cs="宋体"/>
                <w:color w:val="000000"/>
                <w:kern w:val="0"/>
                <w:sz w:val="20"/>
                <w:szCs w:val="20"/>
              </w:rPr>
              <w:t>申请人无正当理由逾期不补正、行政机关不再处理其政府信息公开申请</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1613"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continue"/>
            <w:tcBorders>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1883" w:type="dxa"/>
            <w:tcBorders>
              <w:bottom w:val="single" w:color="000000" w:sz="12" w:space="0"/>
              <w:right w:val="single" w:color="000000" w:sz="12" w:space="0"/>
            </w:tcBorders>
            <w:vAlign w:val="center"/>
          </w:tcPr>
          <w:p>
            <w:pPr>
              <w:widowControl/>
              <w:textAlignment w:val="center"/>
              <w:rPr>
                <w:rFonts w:ascii="宋体" w:hAnsi="宋体" w:eastAsia="宋体" w:cs="宋体"/>
                <w:color w:val="000000"/>
                <w:sz w:val="20"/>
                <w:szCs w:val="20"/>
              </w:rPr>
            </w:pPr>
            <w:r>
              <w:rPr>
                <w:rFonts w:ascii="宋体" w:hAnsi="宋体" w:eastAsia="宋体" w:cs="宋体"/>
                <w:color w:val="000000"/>
                <w:kern w:val="0"/>
                <w:sz w:val="20"/>
                <w:szCs w:val="20"/>
              </w:rPr>
              <w:t>2.</w:t>
            </w:r>
            <w:r>
              <w:rPr>
                <w:rFonts w:hint="eastAsia" w:ascii="宋体" w:hAnsi="宋体" w:eastAsia="宋体" w:cs="宋体"/>
                <w:color w:val="000000"/>
                <w:kern w:val="0"/>
                <w:sz w:val="20"/>
                <w:szCs w:val="20"/>
              </w:rPr>
              <w:t>申请人逾期未按收费通知要求缴纳费用、行政机关不再处理其政府信息公开申请</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50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810" w:type="dxa"/>
            <w:vMerge w:val="continue"/>
            <w:tcBorders>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1883" w:type="dxa"/>
            <w:tcBorders>
              <w:bottom w:val="single" w:color="000000" w:sz="12" w:space="0"/>
              <w:right w:val="single" w:color="000000" w:sz="12" w:space="0"/>
            </w:tcBorders>
            <w:vAlign w:val="center"/>
          </w:tcPr>
          <w:p>
            <w:pPr>
              <w:widowControl/>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w:t>
            </w:r>
            <w:r>
              <w:rPr>
                <w:rFonts w:hint="eastAsia" w:ascii="宋体" w:hAnsi="宋体" w:eastAsia="宋体" w:cs="宋体"/>
                <w:color w:val="000000"/>
                <w:kern w:val="0"/>
                <w:sz w:val="20"/>
                <w:szCs w:val="20"/>
              </w:rPr>
              <w:t>其他</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506"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ascii="宋体" w:hAnsi="宋体" w:eastAsia="宋体" w:cs="宋体"/>
                <w:color w:val="000000"/>
                <w:sz w:val="20"/>
                <w:szCs w:val="20"/>
              </w:rPr>
            </w:pPr>
          </w:p>
        </w:tc>
        <w:tc>
          <w:tcPr>
            <w:tcW w:w="2693" w:type="dxa"/>
            <w:gridSpan w:val="2"/>
            <w:tcBorders>
              <w:bottom w:val="single" w:color="000000" w:sz="12" w:space="0"/>
              <w:right w:val="single" w:color="000000" w:sz="12"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（七）总计</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r>
        <w:tblPrEx>
          <w:tblCellMar>
            <w:top w:w="15" w:type="dxa"/>
            <w:left w:w="15" w:type="dxa"/>
            <w:bottom w:w="15" w:type="dxa"/>
            <w:right w:w="15" w:type="dxa"/>
          </w:tblCellMar>
        </w:tblPrEx>
        <w:trPr>
          <w:trHeight w:val="677" w:hRule="atLeast"/>
          <w:jc w:val="center"/>
        </w:trPr>
        <w:tc>
          <w:tcPr>
            <w:tcW w:w="3178" w:type="dxa"/>
            <w:gridSpan w:val="3"/>
            <w:tcBorders>
              <w:left w:val="single" w:color="000000" w:sz="12" w:space="0"/>
              <w:bottom w:val="single" w:color="000000" w:sz="12" w:space="0"/>
              <w:right w:val="single" w:color="000000" w:sz="12" w:space="0"/>
            </w:tcBorders>
            <w:vAlign w:val="center"/>
          </w:tcPr>
          <w:p>
            <w:pPr>
              <w:widowControl/>
              <w:jc w:val="left"/>
              <w:textAlignment w:val="center"/>
              <w:rPr>
                <w:rFonts w:ascii="宋体" w:hAnsi="宋体" w:eastAsia="宋体" w:cs="宋体"/>
                <w:color w:val="000000"/>
                <w:sz w:val="20"/>
                <w:szCs w:val="20"/>
              </w:rPr>
            </w:pPr>
            <w:r>
              <w:rPr>
                <w:rFonts w:ascii="宋体" w:eastAsia="宋体" w:cs="宋体"/>
                <w:color w:val="000000"/>
                <w:kern w:val="0"/>
                <w:sz w:val="20"/>
                <w:szCs w:val="20"/>
              </w:rPr>
              <w:t>0</w:t>
            </w:r>
            <w:r>
              <w:rPr>
                <w:rFonts w:hint="eastAsia" w:ascii="宋体" w:hAnsi="宋体" w:eastAsia="宋体" w:cs="宋体"/>
                <w:color w:val="000000"/>
                <w:kern w:val="0"/>
                <w:sz w:val="20"/>
                <w:szCs w:val="20"/>
              </w:rPr>
              <w:t>四、结转下年度继续办理</w:t>
            </w:r>
          </w:p>
        </w:tc>
        <w:tc>
          <w:tcPr>
            <w:tcW w:w="62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15"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6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9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bl>
    <w:p>
      <w:pPr>
        <w:spacing w:line="560" w:lineRule="exact"/>
        <w:rPr>
          <w:rFonts w:ascii="黑体" w:hAnsi="黑体" w:eastAsia="黑体" w:cs="黑体"/>
        </w:rPr>
      </w:pPr>
      <w:r>
        <w:rPr>
          <w:rFonts w:ascii="黑体" w:hAnsi="黑体" w:eastAsia="黑体" w:cs="黑体"/>
        </w:rPr>
        <w:t xml:space="preserve">    </w:t>
      </w:r>
      <w:r>
        <w:rPr>
          <w:rFonts w:hint="eastAsia" w:ascii="黑体" w:hAnsi="黑体" w:eastAsia="黑体" w:cs="黑体"/>
        </w:rPr>
        <w:t>四、政府信息公开行政复议、行政诉讼情况</w:t>
      </w:r>
    </w:p>
    <w:tbl>
      <w:tblPr>
        <w:tblStyle w:val="4"/>
        <w:tblW w:w="10205" w:type="dxa"/>
        <w:jc w:val="center"/>
        <w:tblLayout w:type="fixed"/>
        <w:tblCellMar>
          <w:top w:w="15" w:type="dxa"/>
          <w:left w:w="15" w:type="dxa"/>
          <w:bottom w:w="15" w:type="dxa"/>
          <w:right w:w="15" w:type="dxa"/>
        </w:tblCellMar>
      </w:tblPr>
      <w:tblGrid>
        <w:gridCol w:w="628"/>
        <w:gridCol w:w="702"/>
        <w:gridCol w:w="704"/>
        <w:gridCol w:w="706"/>
        <w:gridCol w:w="625"/>
        <w:gridCol w:w="704"/>
        <w:gridCol w:w="703"/>
        <w:gridCol w:w="707"/>
        <w:gridCol w:w="702"/>
        <w:gridCol w:w="704"/>
        <w:gridCol w:w="706"/>
        <w:gridCol w:w="702"/>
        <w:gridCol w:w="668"/>
        <w:gridCol w:w="538"/>
        <w:gridCol w:w="706"/>
      </w:tblGrid>
      <w:tr>
        <w:tblPrEx>
          <w:tblCellMar>
            <w:top w:w="15" w:type="dxa"/>
            <w:left w:w="15" w:type="dxa"/>
            <w:bottom w:w="15" w:type="dxa"/>
            <w:right w:w="15" w:type="dxa"/>
          </w:tblCellMar>
        </w:tblPrEx>
        <w:trPr>
          <w:trHeight w:val="357" w:hRule="atLeast"/>
          <w:jc w:val="center"/>
        </w:trPr>
        <w:tc>
          <w:tcPr>
            <w:tcW w:w="2427"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行政复议</w:t>
            </w:r>
          </w:p>
        </w:tc>
        <w:tc>
          <w:tcPr>
            <w:tcW w:w="4933" w:type="dxa"/>
            <w:gridSpan w:val="10"/>
            <w:tcBorders>
              <w:top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行政诉讼</w:t>
            </w:r>
          </w:p>
        </w:tc>
      </w:tr>
      <w:tr>
        <w:tblPrEx>
          <w:tblCellMar>
            <w:top w:w="15" w:type="dxa"/>
            <w:left w:w="15" w:type="dxa"/>
            <w:bottom w:w="15" w:type="dxa"/>
            <w:right w:w="15" w:type="dxa"/>
          </w:tblCellMar>
        </w:tblPrEx>
        <w:trPr>
          <w:trHeight w:val="579" w:hRule="atLeast"/>
          <w:jc w:val="center"/>
        </w:trPr>
        <w:tc>
          <w:tcPr>
            <w:tcW w:w="453" w:type="dxa"/>
            <w:vMerge w:val="restart"/>
            <w:tcBorders>
              <w:left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结</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果</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维</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持</w:t>
            </w:r>
          </w:p>
        </w:tc>
        <w:tc>
          <w:tcPr>
            <w:tcW w:w="506" w:type="dxa"/>
            <w:vMerge w:val="restart"/>
            <w:tcBorders>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结</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果</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纠</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正</w:t>
            </w:r>
          </w:p>
        </w:tc>
        <w:tc>
          <w:tcPr>
            <w:tcW w:w="508"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他</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结</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果</w:t>
            </w:r>
          </w:p>
        </w:tc>
        <w:tc>
          <w:tcPr>
            <w:tcW w:w="50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尚</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未</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结</w:t>
            </w:r>
          </w:p>
        </w:tc>
        <w:tc>
          <w:tcPr>
            <w:tcW w:w="451"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总</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w:t>
            </w:r>
          </w:p>
        </w:tc>
        <w:tc>
          <w:tcPr>
            <w:tcW w:w="2539" w:type="dxa"/>
            <w:gridSpan w:val="5"/>
            <w:vMerge w:val="restart"/>
            <w:tcBorders>
              <w:top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未经复议直接起诉</w:t>
            </w:r>
          </w:p>
        </w:tc>
        <w:tc>
          <w:tcPr>
            <w:tcW w:w="2394" w:type="dxa"/>
            <w:gridSpan w:val="5"/>
            <w:vMerge w:val="restart"/>
            <w:tcBorders>
              <w:top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复议后起诉</w:t>
            </w:r>
          </w:p>
        </w:tc>
      </w:tr>
      <w:tr>
        <w:tblPrEx>
          <w:tblCellMar>
            <w:top w:w="15" w:type="dxa"/>
            <w:left w:w="15" w:type="dxa"/>
            <w:bottom w:w="15" w:type="dxa"/>
            <w:right w:w="15" w:type="dxa"/>
          </w:tblCellMar>
        </w:tblPrEx>
        <w:trPr>
          <w:trHeight w:val="579"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6" w:type="dxa"/>
            <w:vMerge w:val="continue"/>
            <w:tcBorders>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2539" w:type="dxa"/>
            <w:gridSpan w:val="5"/>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2394" w:type="dxa"/>
            <w:gridSpan w:val="5"/>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579"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6" w:type="dxa"/>
            <w:vMerge w:val="continue"/>
            <w:tcBorders>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2539" w:type="dxa"/>
            <w:gridSpan w:val="5"/>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2394" w:type="dxa"/>
            <w:gridSpan w:val="5"/>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579"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6" w:type="dxa"/>
            <w:vMerge w:val="continue"/>
            <w:tcBorders>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结</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果</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维</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持</w:t>
            </w:r>
          </w:p>
        </w:tc>
        <w:tc>
          <w:tcPr>
            <w:tcW w:w="50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结</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果</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纠</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正</w:t>
            </w:r>
          </w:p>
        </w:tc>
        <w:tc>
          <w:tcPr>
            <w:tcW w:w="510"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他</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结</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果</w:t>
            </w:r>
            <w:r>
              <w:rPr>
                <w:rFonts w:ascii="宋体" w:hAnsi="宋体" w:eastAsia="宋体" w:cs="宋体"/>
                <w:color w:val="000000"/>
                <w:kern w:val="0"/>
                <w:sz w:val="20"/>
                <w:szCs w:val="20"/>
              </w:rPr>
              <w:t xml:space="preserve"> </w:t>
            </w:r>
          </w:p>
        </w:tc>
        <w:tc>
          <w:tcPr>
            <w:tcW w:w="506"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尚</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未</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结</w:t>
            </w:r>
            <w:r>
              <w:rPr>
                <w:rFonts w:ascii="宋体" w:hAnsi="宋体" w:eastAsia="宋体" w:cs="宋体"/>
                <w:color w:val="000000"/>
                <w:kern w:val="0"/>
                <w:sz w:val="20"/>
                <w:szCs w:val="20"/>
              </w:rPr>
              <w:t xml:space="preserve"> </w:t>
            </w:r>
          </w:p>
        </w:tc>
        <w:tc>
          <w:tcPr>
            <w:tcW w:w="50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总</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w:t>
            </w:r>
            <w:bookmarkStart w:id="0" w:name="_GoBack"/>
            <w:bookmarkEnd w:id="0"/>
          </w:p>
        </w:tc>
        <w:tc>
          <w:tcPr>
            <w:tcW w:w="50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结</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果</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维</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持</w:t>
            </w:r>
          </w:p>
        </w:tc>
        <w:tc>
          <w:tcPr>
            <w:tcW w:w="506"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结</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果</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纠</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正</w:t>
            </w:r>
          </w:p>
        </w:tc>
        <w:tc>
          <w:tcPr>
            <w:tcW w:w="482"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他</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结</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果</w:t>
            </w:r>
          </w:p>
        </w:tc>
        <w:tc>
          <w:tcPr>
            <w:tcW w:w="38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尚</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未</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结</w:t>
            </w:r>
          </w:p>
        </w:tc>
        <w:tc>
          <w:tcPr>
            <w:tcW w:w="509"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总</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w:t>
            </w:r>
          </w:p>
        </w:tc>
      </w:tr>
      <w:tr>
        <w:tblPrEx>
          <w:tblCellMar>
            <w:top w:w="15" w:type="dxa"/>
            <w:left w:w="15" w:type="dxa"/>
            <w:bottom w:w="15" w:type="dxa"/>
            <w:right w:w="15" w:type="dxa"/>
          </w:tblCellMar>
        </w:tblPrEx>
        <w:trPr>
          <w:trHeight w:val="579"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6" w:type="dxa"/>
            <w:vMerge w:val="continue"/>
            <w:tcBorders>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1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6"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6"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482"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38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9"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579"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6" w:type="dxa"/>
            <w:vMerge w:val="continue"/>
            <w:tcBorders>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1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6"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6"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482"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38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9"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579"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6" w:type="dxa"/>
            <w:vMerge w:val="continue"/>
            <w:tcBorders>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1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6"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6"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482"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38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c>
          <w:tcPr>
            <w:tcW w:w="509" w:type="dxa"/>
            <w:vMerge w:val="continue"/>
            <w:tcBorders>
              <w:top w:val="single" w:color="000000" w:sz="12" w:space="0"/>
              <w:bottom w:val="single" w:color="000000" w:sz="12" w:space="0"/>
              <w:right w:val="single" w:color="000000" w:sz="12" w:space="0"/>
            </w:tcBorders>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501" w:hRule="atLeast"/>
          <w:jc w:val="center"/>
        </w:trPr>
        <w:tc>
          <w:tcPr>
            <w:tcW w:w="453" w:type="dxa"/>
            <w:tcBorders>
              <w:left w:val="single" w:color="000000" w:sz="12" w:space="0"/>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0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09"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451"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07"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10"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0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0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09"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06"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482"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388"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c>
          <w:tcPr>
            <w:tcW w:w="509" w:type="dxa"/>
            <w:tcBorders>
              <w:bottom w:val="single" w:color="000000" w:sz="12" w:space="0"/>
              <w:right w:val="single" w:color="000000" w:sz="12" w:space="0"/>
            </w:tcBorders>
            <w:vAlign w:val="center"/>
          </w:tcPr>
          <w:p>
            <w:pPr>
              <w:jc w:val="center"/>
              <w:rPr>
                <w:rFonts w:ascii="宋体" w:eastAsia="宋体" w:cs="宋体"/>
                <w:color w:val="000000"/>
                <w:sz w:val="20"/>
                <w:szCs w:val="20"/>
              </w:rPr>
            </w:pPr>
            <w:r>
              <w:rPr>
                <w:rFonts w:ascii="宋体" w:eastAsia="宋体" w:cs="宋体"/>
                <w:color w:val="000000"/>
                <w:sz w:val="20"/>
                <w:szCs w:val="20"/>
              </w:rPr>
              <w:t>0</w:t>
            </w:r>
          </w:p>
        </w:tc>
      </w:tr>
    </w:tbl>
    <w:p>
      <w:pPr>
        <w:spacing w:line="560" w:lineRule="exact"/>
        <w:rPr>
          <w:rFonts w:ascii="黑体" w:hAnsi="黑体" w:eastAsia="黑体" w:cs="黑体"/>
        </w:rPr>
      </w:pPr>
      <w:r>
        <w:rPr>
          <w:rFonts w:ascii="黑体" w:hAnsi="黑体" w:eastAsia="黑体" w:cs="黑体"/>
        </w:rPr>
        <w:t xml:space="preserve">    </w:t>
      </w:r>
      <w:r>
        <w:rPr>
          <w:rFonts w:hint="eastAsia" w:ascii="黑体" w:hAnsi="黑体" w:eastAsia="黑体" w:cs="黑体"/>
        </w:rPr>
        <w:t>五、存在的主要问题及改进情况</w:t>
      </w:r>
    </w:p>
    <w:p>
      <w:pPr>
        <w:widowControl/>
        <w:spacing w:line="560" w:lineRule="exact"/>
        <w:ind w:firstLine="480"/>
        <w:jc w:val="left"/>
        <w:rPr>
          <w:rFonts w:hint="eastAsia" w:ascii="仿宋_GB2312" w:hAnsi="宋体" w:eastAsia="仿宋_GB2312" w:cs="宋体"/>
          <w:kern w:val="0"/>
          <w:sz w:val="32"/>
          <w:szCs w:val="32"/>
          <w:lang w:val="en"/>
        </w:rPr>
      </w:pPr>
      <w:r>
        <w:rPr>
          <w:rFonts w:ascii="仿宋_GB2312" w:hAnsi="仿宋_GB2312" w:cs="仿宋_GB2312"/>
          <w:color w:val="FF0000"/>
        </w:rPr>
        <w:t xml:space="preserve"> </w:t>
      </w:r>
      <w:r>
        <w:rPr>
          <w:rFonts w:ascii="仿宋_GB2312" w:hAnsi="仿宋_GB2312" w:cs="仿宋_GB2312"/>
          <w:color w:val="121212"/>
        </w:rPr>
        <w:t xml:space="preserve">  </w:t>
      </w:r>
      <w:r>
        <w:rPr>
          <w:rFonts w:hint="eastAsia" w:ascii="仿宋_GB2312" w:hAnsi="宋体" w:eastAsia="仿宋_GB2312" w:cs="宋体"/>
          <w:kern w:val="0"/>
          <w:sz w:val="32"/>
          <w:szCs w:val="32"/>
          <w:lang w:val="en"/>
        </w:rPr>
        <w:t>（一）工作存在的主要问题</w:t>
      </w:r>
    </w:p>
    <w:p>
      <w:pPr>
        <w:widowControl/>
        <w:spacing w:line="560" w:lineRule="exact"/>
        <w:ind w:firstLine="480"/>
        <w:jc w:val="left"/>
        <w:rPr>
          <w:rFonts w:hint="eastAsia" w:ascii="仿宋_GB2312" w:hAnsi="宋体" w:eastAsia="仿宋_GB2312" w:cs="宋体"/>
          <w:kern w:val="0"/>
          <w:sz w:val="32"/>
          <w:szCs w:val="32"/>
          <w:lang w:val="en"/>
        </w:rPr>
      </w:pPr>
      <w:r>
        <w:rPr>
          <w:rFonts w:hint="eastAsia" w:ascii="仿宋_GB2312" w:hAnsi="宋体" w:eastAsia="仿宋_GB2312" w:cs="宋体"/>
          <w:kern w:val="0"/>
          <w:sz w:val="32"/>
          <w:szCs w:val="32"/>
          <w:lang w:val="en"/>
        </w:rPr>
        <w:t>一是由于街道工作繁杂，部分政府信息公开不够及时, 对信息公开工作研究不够，预判不足。二是政府信息公开不够细化，公开形式便民性需要进一步提高。</w:t>
      </w:r>
    </w:p>
    <w:p>
      <w:pPr>
        <w:widowControl/>
        <w:spacing w:line="560" w:lineRule="exact"/>
        <w:ind w:firstLine="480"/>
        <w:jc w:val="left"/>
        <w:rPr>
          <w:rFonts w:hint="eastAsia" w:ascii="仿宋_GB2312" w:hAnsi="宋体" w:eastAsia="仿宋_GB2312" w:cs="宋体"/>
          <w:kern w:val="0"/>
          <w:sz w:val="32"/>
          <w:szCs w:val="32"/>
          <w:lang w:val="en"/>
        </w:rPr>
      </w:pPr>
      <w:r>
        <w:rPr>
          <w:rFonts w:hint="eastAsia" w:ascii="仿宋_GB2312" w:hAnsi="宋体" w:eastAsia="仿宋_GB2312" w:cs="宋体"/>
          <w:kern w:val="0"/>
          <w:sz w:val="32"/>
          <w:szCs w:val="32"/>
          <w:lang w:val="en"/>
        </w:rPr>
        <w:t>（二）改进措施</w:t>
      </w:r>
    </w:p>
    <w:p>
      <w:pPr>
        <w:widowControl/>
        <w:spacing w:line="560" w:lineRule="exact"/>
        <w:ind w:firstLine="480"/>
        <w:jc w:val="left"/>
        <w:rPr>
          <w:rFonts w:hint="eastAsia" w:ascii="仿宋_GB2312" w:hAnsi="宋体" w:eastAsia="仿宋_GB2312" w:cs="宋体"/>
          <w:kern w:val="0"/>
          <w:sz w:val="32"/>
          <w:szCs w:val="32"/>
          <w:lang w:val="en"/>
        </w:rPr>
      </w:pPr>
      <w:r>
        <w:rPr>
          <w:rFonts w:hint="eastAsia" w:ascii="仿宋_GB2312" w:hAnsi="宋体" w:eastAsia="仿宋_GB2312" w:cs="宋体"/>
          <w:kern w:val="0"/>
          <w:sz w:val="32"/>
          <w:szCs w:val="32"/>
          <w:lang w:val="en"/>
        </w:rPr>
        <w:t>一是细化工作部署，规范推进公开工作。健全政务公开工作制度，召开信息公开部署工作会，明确政务公开重点工作分工和要求，促进主动公开信息全面公开。二是加强信息队伍建设。定期组织开展政务公开培训，深入学习关于政务公开的有关内容，提高政务公开工作的业务水平。三是不断提高公开内容的质量。按照要求规定所公开的内容，及时将有关文件精神、重大决策部署落实情况等进行发布，多形式开展政策解读，不断提升公开内容的质量。</w:t>
      </w:r>
    </w:p>
    <w:p>
      <w:pPr>
        <w:widowControl/>
        <w:jc w:val="left"/>
        <w:rPr>
          <w:rFonts w:ascii="仿宋_GB2312" w:cs="仿宋_GB2312"/>
          <w:color w:val="FF0000"/>
        </w:rPr>
      </w:pPr>
    </w:p>
    <w:p>
      <w:pPr>
        <w:spacing w:line="560" w:lineRule="exact"/>
        <w:rPr>
          <w:rFonts w:ascii="黑体" w:hAnsi="黑体" w:eastAsia="黑体" w:cs="黑体"/>
        </w:rPr>
      </w:pPr>
      <w:r>
        <w:rPr>
          <w:rFonts w:ascii="黑体" w:hAnsi="黑体" w:eastAsia="黑体" w:cs="黑体"/>
        </w:rPr>
        <w:t xml:space="preserve">    </w:t>
      </w:r>
      <w:r>
        <w:rPr>
          <w:rFonts w:hint="eastAsia" w:ascii="黑体" w:hAnsi="黑体" w:eastAsia="黑体" w:cs="黑体"/>
        </w:rPr>
        <w:t>六、其他需要报告的事项</w:t>
      </w:r>
    </w:p>
    <w:p>
      <w:pPr>
        <w:rPr>
          <w:rFonts w:ascii="仿宋_GB2312" w:cs="仿宋_GB2312"/>
        </w:rPr>
      </w:pPr>
      <w:r>
        <w:rPr>
          <w:rFonts w:ascii="黑体" w:hAnsi="黑体" w:eastAsia="黑体" w:cs="黑体"/>
        </w:rPr>
        <w:t xml:space="preserve">    </w:t>
      </w:r>
      <w:r>
        <w:rPr>
          <w:rFonts w:hint="eastAsia" w:ascii="仿宋_GB2312" w:hAnsi="仿宋_GB2312" w:cs="仿宋_GB2312"/>
          <w:lang w:val="en-US" w:eastAsia="zh-CN"/>
        </w:rPr>
        <w:t>本年度无信息处理费情况</w:t>
      </w:r>
      <w:r>
        <w:rPr>
          <w:rFonts w:hint="eastAsia" w:ascii="仿宋_GB2312" w:hAnsi="仿宋_GB2312" w:cs="仿宋_GB2312"/>
        </w:rPr>
        <w:t>。</w:t>
      </w:r>
    </w:p>
    <w:p>
      <w:pPr>
        <w:widowControl/>
        <w:autoSpaceDE w:val="0"/>
        <w:ind w:right="1282" w:rightChars="406" w:firstLine="631"/>
        <w:rPr>
          <w:rFonts w:ascii="仿宋_GB2312" w:hAnsi="仿宋" w:cs="黑体"/>
        </w:rPr>
      </w:pPr>
    </w:p>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644" w:gutter="0"/>
      <w:pgBorders>
        <w:top w:val="none" w:sz="0" w:space="0"/>
        <w:left w:val="none" w:sz="0" w:space="0"/>
        <w:bottom w:val="none" w:sz="0" w:space="0"/>
        <w:right w:val="none" w:sz="0" w:space="0"/>
      </w:pgBorders>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- 4 -</w:t>
                          </w:r>
                          <w:r>
                            <w:rPr>
                              <w:rFonts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snapToGrid w:val="0"/>
                      <w:rPr>
                        <w:sz w:val="1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- 4 -</w:t>
                    </w:r>
                    <w:r>
                      <w:rPr>
                        <w:rFonts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- 2 -</w:t>
                          </w:r>
                          <w:r>
                            <w:rPr>
                              <w:rFonts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- 2 -</w:t>
                    </w:r>
                    <w:r>
                      <w:rPr>
                        <w:rFonts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C34657"/>
    <w:multiLevelType w:val="singleLevel"/>
    <w:tmpl w:val="70C34657"/>
    <w:lvl w:ilvl="0" w:tentative="0">
      <w:start w:val="1"/>
      <w:numFmt w:val="chineseCounting"/>
      <w:suff w:val="nothing"/>
      <w:lvlText w:val="%1、"/>
      <w:lvlJc w:val="left"/>
      <w:pPr>
        <w:ind w:left="63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zFhNDY3YWY2YzI3NzY1ZDFlMDUxZjFlYTc5YTIifQ=="/>
  </w:docVars>
  <w:rsids>
    <w:rsidRoot w:val="48984D55"/>
    <w:rsid w:val="000559B5"/>
    <w:rsid w:val="000950BE"/>
    <w:rsid w:val="000E3168"/>
    <w:rsid w:val="001F1ED9"/>
    <w:rsid w:val="00216BA3"/>
    <w:rsid w:val="002A1E38"/>
    <w:rsid w:val="002D3876"/>
    <w:rsid w:val="00333E65"/>
    <w:rsid w:val="00435F8C"/>
    <w:rsid w:val="00751CEE"/>
    <w:rsid w:val="008E7A77"/>
    <w:rsid w:val="009010A3"/>
    <w:rsid w:val="0091177C"/>
    <w:rsid w:val="00A12E95"/>
    <w:rsid w:val="00A529A2"/>
    <w:rsid w:val="00D45EC7"/>
    <w:rsid w:val="05CD3FD8"/>
    <w:rsid w:val="06222576"/>
    <w:rsid w:val="071059E4"/>
    <w:rsid w:val="15BB5BFB"/>
    <w:rsid w:val="288B735D"/>
    <w:rsid w:val="34AB3C1A"/>
    <w:rsid w:val="387B13E8"/>
    <w:rsid w:val="3C321D23"/>
    <w:rsid w:val="477C493B"/>
    <w:rsid w:val="48984D55"/>
    <w:rsid w:val="48A979B2"/>
    <w:rsid w:val="4A290AB4"/>
    <w:rsid w:val="51305922"/>
    <w:rsid w:val="53D7745A"/>
    <w:rsid w:val="55156E26"/>
    <w:rsid w:val="59E1048B"/>
    <w:rsid w:val="5D344A10"/>
    <w:rsid w:val="5DFA3C9D"/>
    <w:rsid w:val="69211CC9"/>
    <w:rsid w:val="6AC569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rFonts w:ascii="Times New Roman" w:hAnsi="Times New Roman" w:eastAsia="仿宋_GB2312" w:cs="Times New Roman"/>
      <w:sz w:val="18"/>
      <w:szCs w:val="18"/>
    </w:rPr>
  </w:style>
  <w:style w:type="character" w:customStyle="1" w:styleId="7">
    <w:name w:val="font21"/>
    <w:basedOn w:val="5"/>
    <w:autoRedefine/>
    <w:qFormat/>
    <w:uiPriority w:val="99"/>
    <w:rPr>
      <w:rFonts w:ascii="宋体" w:hAnsi="宋体" w:eastAsia="宋体" w:cs="宋体"/>
      <w:color w:val="000000"/>
      <w:sz w:val="20"/>
      <w:szCs w:val="20"/>
      <w:u w:val="none"/>
    </w:rPr>
  </w:style>
  <w:style w:type="paragraph" w:customStyle="1" w:styleId="8">
    <w:name w:val="Char"/>
    <w:basedOn w:val="1"/>
    <w:qFormat/>
    <w:uiPriority w:val="99"/>
    <w:pPr>
      <w:tabs>
        <w:tab w:val="left" w:pos="360"/>
      </w:tabs>
    </w:pPr>
    <w:rPr>
      <w:sz w:val="24"/>
    </w:rPr>
  </w:style>
  <w:style w:type="character" w:customStyle="1" w:styleId="9">
    <w:name w:val="font01"/>
    <w:basedOn w:val="5"/>
    <w:qFormat/>
    <w:uiPriority w:val="99"/>
    <w:rPr>
      <w:rFonts w:ascii="Calibri" w:hAnsi="Calibri" w:cs="Calibri"/>
      <w:color w:val="000000"/>
      <w:sz w:val="20"/>
      <w:szCs w:val="20"/>
      <w:u w:val="none"/>
    </w:rPr>
  </w:style>
  <w:style w:type="character" w:customStyle="1" w:styleId="10">
    <w:name w:val="font11"/>
    <w:basedOn w:val="5"/>
    <w:autoRedefine/>
    <w:qFormat/>
    <w:uiPriority w:val="99"/>
    <w:rPr>
      <w:rFonts w:ascii="宋体" w:hAnsi="宋体" w:eastAsia="宋体" w:cs="宋体"/>
      <w:color w:val="000000"/>
      <w:sz w:val="20"/>
      <w:szCs w:val="20"/>
      <w:u w:val="none"/>
    </w:rPr>
  </w:style>
  <w:style w:type="character" w:customStyle="1" w:styleId="11">
    <w:name w:val="Header Char"/>
    <w:basedOn w:val="5"/>
    <w:link w:val="3"/>
    <w:semiHidden/>
    <w:qFormat/>
    <w:locked/>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2361</Words>
  <Characters>2440</Characters>
  <Lines>0</Lines>
  <Paragraphs>0</Paragraphs>
  <TotalTime>7</TotalTime>
  <ScaleCrop>false</ScaleCrop>
  <LinksUpToDate>false</LinksUpToDate>
  <CharactersWithSpaces>2474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2022-12-29T02:04:00Z</dcterms:created>
  <dc:creator>大承将军</dc:creator>
  <cp:lastModifiedBy>微工匠</cp:lastModifiedBy>
  <cp:lastPrinted>2023-02-02T04:10:00Z</cp:lastPrinted>
  <dcterms:modified xsi:type="dcterms:W3CDTF">2024-01-25T04:05:11Z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6865165A57AA4A909C3B8DF81B8AE179</vt:lpwstr>
  </property>
</Properties>
</file>