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阿城区蜚克图街道办事处2023年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FF0000"/>
          <w:sz w:val="32"/>
          <w:szCs w:val="32"/>
          <w:highlight w:val="none"/>
          <w:lang w:val="en-US" w:eastAsia="zh-CN"/>
        </w:rPr>
      </w:pPr>
      <w:r>
        <w:rPr>
          <w:rFonts w:hint="eastAsia" w:ascii="仿宋_GB2312" w:hAnsi="仿宋_GB2312" w:eastAsia="仿宋_GB2312" w:cs="仿宋_GB2312"/>
          <w:b w:val="0"/>
          <w:bCs w:val="0"/>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年1月1日至202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年12月31日截止。本报告全面客观的反映了阿</w:t>
      </w:r>
      <w:r>
        <w:rPr>
          <w:rFonts w:hint="eastAsia" w:ascii="仿宋_GB2312" w:hAnsi="仿宋_GB2312" w:eastAsia="仿宋_GB2312" w:cs="仿宋_GB2312"/>
          <w:b w:val="0"/>
          <w:bCs w:val="0"/>
          <w:sz w:val="32"/>
          <w:szCs w:val="32"/>
          <w:highlight w:val="none"/>
          <w:lang w:val="en-US" w:eastAsia="zh-CN"/>
        </w:rPr>
        <w:t>城区</w:t>
      </w:r>
      <w:r>
        <w:rPr>
          <w:rFonts w:hint="eastAsia" w:ascii="仿宋_GB2312" w:hAnsi="仿宋_GB2312" w:cs="仿宋_GB2312"/>
          <w:b w:val="0"/>
          <w:bCs w:val="0"/>
          <w:sz w:val="32"/>
          <w:szCs w:val="32"/>
          <w:highlight w:val="none"/>
          <w:lang w:val="en-US" w:eastAsia="zh-CN"/>
        </w:rPr>
        <w:t>蜚克图街道办事处</w:t>
      </w:r>
      <w:r>
        <w:rPr>
          <w:rFonts w:hint="eastAsia" w:ascii="仿宋_GB2312" w:hAnsi="仿宋_GB2312" w:eastAsia="仿宋_GB2312" w:cs="仿宋_GB2312"/>
          <w:b w:val="0"/>
          <w:bCs w:val="0"/>
          <w:sz w:val="32"/>
          <w:szCs w:val="32"/>
          <w:highlight w:val="none"/>
          <w:lang w:val="en-US" w:eastAsia="zh-CN"/>
        </w:rPr>
        <w:t>202</w:t>
      </w:r>
      <w:r>
        <w:rPr>
          <w:rFonts w:hint="eastAsia" w:ascii="仿宋_GB2312" w:hAnsi="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年度政府信息公开工作取得的成效和存在的问题。</w:t>
      </w:r>
      <w:r>
        <w:rPr>
          <w:rFonts w:hint="eastAsia" w:ascii="仿宋_GB2312" w:hAnsi="仿宋_GB2312" w:eastAsia="仿宋_GB2312" w:cs="仿宋_GB2312"/>
          <w:b w:val="0"/>
          <w:bCs w:val="0"/>
          <w:sz w:val="32"/>
          <w:szCs w:val="32"/>
          <w:lang w:val="en-US" w:eastAsia="zh-CN"/>
        </w:rPr>
        <w:t>本报告</w:t>
      </w:r>
      <w:r>
        <w:rPr>
          <w:rFonts w:hint="eastAsia" w:ascii="仿宋_GB2312" w:hAnsi="仿宋_GB2312" w:cs="仿宋_GB2312"/>
          <w:b w:val="0"/>
          <w:bCs w:val="0"/>
          <w:sz w:val="32"/>
          <w:szCs w:val="32"/>
          <w:lang w:val="en-US" w:eastAsia="zh-CN"/>
        </w:rPr>
        <w:t>电子版</w:t>
      </w:r>
      <w:r>
        <w:rPr>
          <w:rFonts w:hint="eastAsia" w:ascii="仿宋_GB2312" w:hAnsi="仿宋" w:eastAsia="仿宋_GB2312"/>
          <w:sz w:val="32"/>
          <w:szCs w:val="32"/>
        </w:rPr>
        <w:t>可以通过哈尔滨市</w:t>
      </w:r>
      <w:r>
        <w:rPr>
          <w:rFonts w:hint="eastAsia" w:ascii="仿宋_GB2312" w:hAnsi="仿宋"/>
          <w:sz w:val="32"/>
          <w:szCs w:val="32"/>
          <w:lang w:eastAsia="zh-CN"/>
        </w:rPr>
        <w:t>阿城</w:t>
      </w:r>
      <w:r>
        <w:rPr>
          <w:rFonts w:hint="eastAsia" w:ascii="仿宋_GB2312" w:hAnsi="仿宋" w:eastAsia="仿宋_GB2312"/>
          <w:sz w:val="32"/>
          <w:szCs w:val="32"/>
        </w:rPr>
        <w:t>区人民政府门户网站→政府信息公开专栏→政务信息公开年报查阅或下载，</w:t>
      </w:r>
      <w:r>
        <w:rPr>
          <w:rFonts w:hint="eastAsia" w:ascii="仿宋_GB2312" w:hAnsi="仿宋_GB2312" w:cs="仿宋_GB2312"/>
          <w:b w:val="0"/>
          <w:bCs w:val="0"/>
          <w:sz w:val="32"/>
          <w:szCs w:val="32"/>
          <w:lang w:val="en-US" w:eastAsia="zh-CN"/>
        </w:rPr>
        <w:t>网址为</w:t>
      </w:r>
      <w:r>
        <w:rPr>
          <w:rFonts w:hint="eastAsia" w:ascii="仿宋_GB2312" w:hAnsi="仿宋_GB2312" w:eastAsia="仿宋_GB2312" w:cs="仿宋_GB2312"/>
          <w:b w:val="0"/>
          <w:bCs w:val="0"/>
          <w:sz w:val="32"/>
          <w:szCs w:val="32"/>
          <w:lang w:val="en-US" w:eastAsia="zh-CN"/>
        </w:rPr>
        <w:t>（http://www.acheng.gov.cn/）向社会公开，</w:t>
      </w:r>
      <w:r>
        <w:rPr>
          <w:rFonts w:hint="eastAsia" w:ascii="仿宋_GB2312" w:hAnsi="仿宋_GB2312" w:eastAsia="仿宋_GB2312" w:cs="仿宋_GB2312"/>
          <w:b w:val="0"/>
          <w:bCs w:val="0"/>
          <w:sz w:val="32"/>
          <w:szCs w:val="32"/>
          <w:highlight w:val="none"/>
          <w:lang w:val="en-US" w:eastAsia="zh-CN"/>
        </w:rPr>
        <w:t>欢迎社会各界进行监督、提出意见，欢迎广大机关企事业单位和人民群众参阅使用。如对本报告有疑问、意见和建议，请联系</w:t>
      </w:r>
      <w:r>
        <w:rPr>
          <w:rFonts w:hint="eastAsia" w:ascii="仿宋_GB2312" w:hAnsi="仿宋_GB2312" w:cs="仿宋_GB2312"/>
          <w:b w:val="0"/>
          <w:bCs w:val="0"/>
          <w:sz w:val="32"/>
          <w:szCs w:val="32"/>
          <w:highlight w:val="none"/>
          <w:lang w:val="en-US" w:eastAsia="zh-CN"/>
        </w:rPr>
        <w:t>阿城区蜚克图街道办事处</w:t>
      </w:r>
      <w:r>
        <w:rPr>
          <w:rFonts w:hint="eastAsia" w:ascii="仿宋_GB2312" w:hAnsi="仿宋_GB2312" w:eastAsia="仿宋_GB2312" w:cs="仿宋_GB2312"/>
          <w:b w:val="0"/>
          <w:bCs w:val="0"/>
          <w:sz w:val="32"/>
          <w:szCs w:val="32"/>
          <w:highlight w:val="none"/>
          <w:lang w:val="en-US" w:eastAsia="zh-CN"/>
        </w:rPr>
        <w:t>，地址：阿城区</w:t>
      </w:r>
      <w:r>
        <w:rPr>
          <w:rFonts w:hint="eastAsia" w:ascii="仿宋_GB2312" w:hAnsi="仿宋_GB2312" w:cs="仿宋_GB2312"/>
          <w:b w:val="0"/>
          <w:bCs w:val="0"/>
          <w:sz w:val="32"/>
          <w:szCs w:val="32"/>
          <w:highlight w:val="none"/>
          <w:lang w:val="en-US" w:eastAsia="zh-CN"/>
        </w:rPr>
        <w:t>蜚克图街道蜚克图大街17号</w:t>
      </w:r>
      <w:r>
        <w:rPr>
          <w:rFonts w:hint="eastAsia" w:ascii="仿宋_GB2312" w:hAnsi="仿宋_GB2312" w:eastAsia="仿宋_GB2312" w:cs="仿宋_GB2312"/>
          <w:b w:val="0"/>
          <w:bCs w:val="0"/>
          <w:sz w:val="32"/>
          <w:szCs w:val="32"/>
          <w:highlight w:val="none"/>
          <w:lang w:val="en-US" w:eastAsia="zh-CN"/>
        </w:rPr>
        <w:t>；邮编：1503</w:t>
      </w:r>
      <w:r>
        <w:rPr>
          <w:rFonts w:hint="eastAsia" w:ascii="仿宋_GB2312" w:hAnsi="仿宋_GB2312" w:cs="仿宋_GB2312"/>
          <w:b w:val="0"/>
          <w:bCs w:val="0"/>
          <w:sz w:val="32"/>
          <w:szCs w:val="32"/>
          <w:highlight w:val="none"/>
          <w:lang w:val="en-US" w:eastAsia="zh-CN"/>
        </w:rPr>
        <w:t>33</w:t>
      </w:r>
      <w:r>
        <w:rPr>
          <w:rFonts w:hint="eastAsia" w:ascii="仿宋_GB2312" w:hAnsi="仿宋_GB2312" w:eastAsia="仿宋_GB2312" w:cs="仿宋_GB2312"/>
          <w:b w:val="0"/>
          <w:bCs w:val="0"/>
          <w:sz w:val="32"/>
          <w:szCs w:val="32"/>
          <w:highlight w:val="none"/>
          <w:lang w:val="en-US" w:eastAsia="zh-CN"/>
        </w:rPr>
        <w:t>；联系电话：</w:t>
      </w:r>
      <w:r>
        <w:rPr>
          <w:rFonts w:hint="eastAsia" w:ascii="仿宋_GB2312" w:hAnsi="仿宋_GB2312" w:cs="仿宋_GB2312"/>
          <w:b w:val="0"/>
          <w:bCs w:val="0"/>
          <w:sz w:val="32"/>
          <w:szCs w:val="32"/>
          <w:highlight w:val="none"/>
          <w:lang w:val="en-US" w:eastAsia="zh-CN"/>
        </w:rPr>
        <w:t>0451-53861923</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cs="仿宋_GB2312"/>
          <w:sz w:val="32"/>
          <w:szCs w:val="32"/>
          <w:highlight w:val="none"/>
          <w:lang w:val="en-US" w:eastAsia="zh-CN"/>
        </w:rPr>
        <w:t>蜚克图街道办事处</w:t>
      </w:r>
      <w:r>
        <w:rPr>
          <w:rFonts w:hint="eastAsia" w:ascii="仿宋_GB2312" w:hAnsi="仿宋_GB2312" w:eastAsia="仿宋_GB2312" w:cs="仿宋_GB2312"/>
          <w:sz w:val="32"/>
          <w:szCs w:val="32"/>
        </w:rPr>
        <w:t>全面贯彻落实《条例》和国家、省、市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工作部署，按照</w:t>
      </w:r>
      <w:r>
        <w:rPr>
          <w:rFonts w:hint="eastAsia" w:ascii="仿宋_GB2312" w:hAnsi="仿宋_GB2312" w:eastAsia="仿宋_GB2312" w:cs="仿宋_GB2312"/>
          <w:sz w:val="32"/>
          <w:szCs w:val="32"/>
          <w:lang w:val="en-US" w:eastAsia="zh-CN"/>
        </w:rPr>
        <w:t>《哈尔滨市人民政府办公厅关于印发哈尔滨市2020年政务公开重点工作任务责任分解表的通知》（哈政办发〔2020〕28号）</w:t>
      </w:r>
      <w:r>
        <w:rPr>
          <w:rFonts w:hint="eastAsia" w:ascii="仿宋_GB2312" w:hAnsi="仿宋_GB2312" w:eastAsia="仿宋_GB2312" w:cs="仿宋_GB2312"/>
          <w:sz w:val="32"/>
          <w:szCs w:val="32"/>
        </w:rPr>
        <w:t>，圆满完成202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年度政务公开工作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蜚克图街道办事处领导十分重视政府信息公开工作，将政府信息公开工作摆在工作重要位置，组织全街道相关人员学习《中华人民共和国政府信息公开条例》及上级有关会议精神，调整充实了政府信息公开领导小组，</w:t>
      </w:r>
      <w:r>
        <w:rPr>
          <w:rFonts w:hint="eastAsia" w:ascii="仿宋_GB2312" w:hAnsi="仿宋_GB2312" w:cs="仿宋_GB2312"/>
          <w:color w:val="auto"/>
          <w:sz w:val="32"/>
          <w:szCs w:val="32"/>
          <w:lang w:val="en-US" w:eastAsia="zh-CN"/>
        </w:rPr>
        <w:t>蜚克图街道办事处在阿城区政府网站公开蜚克图街道办事处政府信息；</w:t>
      </w:r>
      <w:r>
        <w:rPr>
          <w:rFonts w:hint="eastAsia" w:ascii="仿宋_GB2312" w:hAnsi="仿宋_GB2312" w:eastAsia="仿宋_GB2312" w:cs="仿宋_GB2312"/>
          <w:color w:val="auto"/>
          <w:sz w:val="32"/>
          <w:szCs w:val="32"/>
          <w:lang w:val="en-US" w:eastAsia="zh-CN"/>
        </w:rPr>
        <w:t>街道主任担任领导小组组长，分管领导为副组长，各相关科室负责人为成员。明确处理信息公开事务的牵头责任部门，各科室负责人对本科室的信息公开工作负责，做到主要领导亲自抓、分管领导具体抓、各有关责任人负责落实，建立健全了工作机制，为做好政府信息公开工作提供了组织保障，</w:t>
      </w:r>
      <w:r>
        <w:rPr>
          <w:rFonts w:hint="eastAsia" w:ascii="仿宋_GB2312" w:hAnsi="仿宋_GB2312" w:cs="仿宋_GB2312"/>
          <w:sz w:val="32"/>
          <w:szCs w:val="32"/>
          <w:lang w:eastAsia="zh-CN"/>
        </w:rPr>
        <w:t>规范政务公开工作流程。研究梳理、编制和明确政务公开工作流程，健全工作机制，及时更新信息，实现执行、管理和服务全过程公开。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一是丰富政务公开的方式，综合利用阿城区政务新媒体、阿城区政府网站等平台，多渠道发布政务信息，方便公众查询或获取。二是及时回应百姓关切，责成分管业务部门对群众通过网络提交的咨询问题、反映问题等公开申请进行规范答复，简单问题要第一时间完成答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加强工作人员法律、法规、保密意识，</w:t>
      </w:r>
      <w:r>
        <w:rPr>
          <w:rFonts w:hint="eastAsia" w:ascii="仿宋_GB2312" w:hAnsi="仿宋_GB2312" w:cs="仿宋_GB2312"/>
          <w:sz w:val="32"/>
          <w:szCs w:val="32"/>
          <w:lang w:eastAsia="zh-CN"/>
        </w:rPr>
        <w:t>强化政务信息发布管理。严格落实信息公开发布单位经办人员、单位分管负责人、单位主要负责人三级审核制度，坚持分级分类审核、先审后发。发布信息前除必要的人工校对审核外，依法依规做好保密审查，防止泄露国家秘密、工作秘密和敏感信息，防范数据汇聚引发泄密风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highlight w:val="none"/>
          <w:lang w:eastAsia="zh-CN"/>
        </w:rPr>
        <w:t>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highlight w:val="none"/>
          <w:lang w:eastAsia="zh-CN"/>
        </w:rPr>
        <w:t>未开设蜚克图街道办事处政府信息公开平台。</w:t>
      </w:r>
      <w:r>
        <w:rPr>
          <w:rFonts w:hint="eastAsia" w:ascii="仿宋_GB2312" w:hAnsi="仿宋_GB2312" w:cs="仿宋_GB2312"/>
          <w:sz w:val="32"/>
          <w:szCs w:val="32"/>
          <w:highlight w:val="none"/>
          <w:lang w:val="en-US" w:eastAsia="zh-CN"/>
        </w:rPr>
        <w:t>蜚克图街道办事处将</w:t>
      </w:r>
      <w:r>
        <w:rPr>
          <w:rFonts w:hint="eastAsia" w:ascii="仿宋_GB2312" w:hAnsi="仿宋_GB2312" w:cs="仿宋_GB2312"/>
          <w:sz w:val="32"/>
          <w:szCs w:val="32"/>
          <w:highlight w:val="none"/>
          <w:lang w:eastAsia="zh-CN"/>
        </w:rPr>
        <w:t>采取张贴公示与网络</w:t>
      </w:r>
      <w:r>
        <w:rPr>
          <w:rFonts w:hint="eastAsia" w:ascii="仿宋_GB2312" w:hAnsi="仿宋_GB2312" w:cs="仿宋_GB2312"/>
          <w:sz w:val="32"/>
          <w:szCs w:val="32"/>
          <w:highlight w:val="none"/>
          <w:lang w:val="en-US" w:eastAsia="zh-CN"/>
        </w:rPr>
        <w:t>微信</w:t>
      </w:r>
      <w:r>
        <w:rPr>
          <w:rFonts w:hint="eastAsia" w:ascii="仿宋_GB2312" w:hAnsi="仿宋_GB2312" w:cs="仿宋_GB2312"/>
          <w:sz w:val="32"/>
          <w:szCs w:val="32"/>
          <w:highlight w:val="none"/>
          <w:lang w:eastAsia="zh-CN"/>
        </w:rPr>
        <w:t>公示相结合的方式，通过村务公开栏，电子政务网等载体，及时征求群众意见建议、解答群众各种政策咨询，满足各种群众需求等。使群众更加全面、直观的了解和掌握政务信息。</w:t>
      </w:r>
      <w:r>
        <w:rPr>
          <w:rFonts w:hint="eastAsia" w:ascii="仿宋_GB2312" w:hAnsi="仿宋_GB2312" w:cs="仿宋_GB2312"/>
          <w:sz w:val="32"/>
          <w:szCs w:val="32"/>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lang w:eastAsia="zh-CN"/>
        </w:rPr>
        <w:t>监督保障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lang w:eastAsia="zh-CN"/>
        </w:rPr>
        <w:t>开展办事处干部的专题培训，在精准性上持续发力，提升政务公开方面服务群众能力，切实打造政治过硬、本领过硬、作风过硬的高素质干部队伍。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二、主动公开政府信息情况</w:t>
      </w:r>
    </w:p>
    <w:tbl>
      <w:tblPr>
        <w:tblStyle w:val="3"/>
        <w:tblW w:w="1020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2457"/>
        <w:gridCol w:w="2518"/>
        <w:gridCol w:w="2711"/>
        <w:gridCol w:w="25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62" w:hRule="atLeast"/>
          <w:jc w:val="center"/>
        </w:trPr>
        <w:tc>
          <w:tcPr>
            <w:tcW w:w="7300" w:type="dxa"/>
            <w:gridSpan w:val="4"/>
            <w:shd w:val="clear" w:color="auto" w:fill="99CC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1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Style w:val="5"/>
                <w:lang w:val="en-US" w:eastAsia="zh-CN" w:bidi="ar-SA"/>
              </w:rPr>
              <w:t>本年</w:t>
            </w:r>
            <w:r>
              <w:rPr>
                <w:rStyle w:val="7"/>
                <w:rFonts w:eastAsia="宋体"/>
                <w:lang w:val="en-US" w:eastAsia="zh-CN" w:bidi="ar-SA"/>
              </w:rPr>
              <w:t>制</w:t>
            </w:r>
            <w:r>
              <w:rPr>
                <w:rStyle w:val="5"/>
                <w:lang w:val="en-US" w:eastAsia="zh-CN" w:bidi="ar-SA"/>
              </w:rPr>
              <w:t>发件</w:t>
            </w:r>
            <w:r>
              <w:rPr>
                <w:rStyle w:val="7"/>
                <w:rFonts w:eastAsia="宋体"/>
                <w:lang w:val="en-US" w:eastAsia="zh-CN" w:bidi="ar-SA"/>
              </w:rPr>
              <w:t>数</w:t>
            </w:r>
          </w:p>
        </w:tc>
        <w:tc>
          <w:tcPr>
            <w:tcW w:w="1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本年废止件数</w:t>
            </w:r>
          </w:p>
        </w:tc>
        <w:tc>
          <w:tcPr>
            <w:tcW w:w="18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Style w:val="5"/>
                <w:lang w:val="en-US" w:eastAsia="zh-CN" w:bidi="ar-SA"/>
              </w:rPr>
              <w:t>现行有效件</w:t>
            </w:r>
            <w:r>
              <w:rPr>
                <w:rStyle w:val="7"/>
                <w:rFonts w:eastAsia="宋体"/>
                <w:lang w:val="en-US" w:eastAsia="zh-CN" w:bidi="ar-SA"/>
              </w:rPr>
              <w:t>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规章</w:t>
            </w:r>
          </w:p>
        </w:tc>
        <w:tc>
          <w:tcPr>
            <w:tcW w:w="1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8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行政规范性文件</w:t>
            </w:r>
          </w:p>
        </w:tc>
        <w:tc>
          <w:tcPr>
            <w:tcW w:w="180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eastAsia="zh-CN"/>
              </w:rPr>
              <w:t>0</w:t>
            </w:r>
          </w:p>
        </w:tc>
        <w:tc>
          <w:tcPr>
            <w:tcW w:w="19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80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shd w:val="clear" w:color="auto" w:fill="99CC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第二十条第（五）项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行政许可</w:t>
            </w:r>
          </w:p>
        </w:tc>
        <w:tc>
          <w:tcPr>
            <w:tcW w:w="5542" w:type="dxa"/>
            <w:gridSpan w:val="3"/>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Calibri" w:hAnsi="Calibri" w:eastAsia="等线" w:cs="Calibri"/>
                <w:i w:val="0"/>
                <w:color w:val="000000"/>
                <w:sz w:val="21"/>
                <w:szCs w:val="21"/>
                <w:u w:val="none"/>
                <w:lang w:val="en-US"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shd w:val="clear" w:color="auto" w:fill="99CC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第二十条第（六）项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行政处罚</w:t>
            </w:r>
          </w:p>
        </w:tc>
        <w:tc>
          <w:tcPr>
            <w:tcW w:w="5542" w:type="dxa"/>
            <w:gridSpan w:val="3"/>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行政强制</w:t>
            </w:r>
          </w:p>
        </w:tc>
        <w:tc>
          <w:tcPr>
            <w:tcW w:w="5542" w:type="dxa"/>
            <w:gridSpan w:val="3"/>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shd w:val="clear" w:color="auto" w:fill="99CC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第二十条第（八）项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本年收费金额（单位：万元）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53" w:hRule="atLeast"/>
          <w:jc w:val="center"/>
        </w:trPr>
        <w:tc>
          <w:tcPr>
            <w:tcW w:w="17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行政事业性收费</w:t>
            </w:r>
          </w:p>
        </w:tc>
        <w:tc>
          <w:tcPr>
            <w:tcW w:w="5542" w:type="dxa"/>
            <w:gridSpan w:val="3"/>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等线" w:hAnsi="等线" w:eastAsia="等线" w:cs="等线"/>
                <w:i w:val="0"/>
                <w:color w:val="000000"/>
                <w:sz w:val="22"/>
                <w:szCs w:val="22"/>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3"/>
        <w:tblW w:w="10205"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676"/>
        <w:gridCol w:w="1129"/>
        <w:gridCol w:w="2625"/>
        <w:gridCol w:w="876"/>
        <w:gridCol w:w="831"/>
        <w:gridCol w:w="719"/>
        <w:gridCol w:w="858"/>
        <w:gridCol w:w="848"/>
        <w:gridCol w:w="831"/>
        <w:gridCol w:w="81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6" w:hRule="atLeast"/>
          <w:jc w:val="center"/>
        </w:trPr>
        <w:tc>
          <w:tcPr>
            <w:tcW w:w="4430" w:type="dxa"/>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SA"/>
              </w:rPr>
              <w:t>（本列数据的勾稽关系为：第一项加第二项之和，等于第三项加第四项之和）</w:t>
            </w:r>
          </w:p>
        </w:tc>
        <w:tc>
          <w:tcPr>
            <w:tcW w:w="5775"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申请人情况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443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楷体" w:hAnsi="楷体" w:eastAsia="楷体" w:cs="楷体"/>
                <w:i w:val="0"/>
                <w:color w:val="000000"/>
                <w:sz w:val="20"/>
                <w:szCs w:val="20"/>
                <w:u w:val="none"/>
              </w:rPr>
            </w:pPr>
          </w:p>
        </w:tc>
        <w:tc>
          <w:tcPr>
            <w:tcW w:w="87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自然人</w:t>
            </w:r>
          </w:p>
        </w:tc>
        <w:tc>
          <w:tcPr>
            <w:tcW w:w="4087"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法人或其他组织</w:t>
            </w:r>
          </w:p>
        </w:tc>
        <w:tc>
          <w:tcPr>
            <w:tcW w:w="81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120" w:hRule="atLeast"/>
          <w:jc w:val="center"/>
        </w:trPr>
        <w:tc>
          <w:tcPr>
            <w:tcW w:w="4430"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楷体" w:hAnsi="楷体" w:eastAsia="楷体" w:cs="楷体"/>
                <w:i w:val="0"/>
                <w:color w:val="000000"/>
                <w:sz w:val="20"/>
                <w:szCs w:val="20"/>
                <w:u w:val="none"/>
              </w:rPr>
            </w:pPr>
          </w:p>
        </w:tc>
        <w:tc>
          <w:tcPr>
            <w:tcW w:w="8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8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商业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w:t>
            </w:r>
          </w:p>
        </w:tc>
        <w:tc>
          <w:tcPr>
            <w:tcW w:w="719" w:type="dxa"/>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科研</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85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社会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公益</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组织</w:t>
            </w:r>
          </w:p>
        </w:tc>
        <w:tc>
          <w:tcPr>
            <w:tcW w:w="84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法律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服务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8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其他</w:t>
            </w:r>
          </w:p>
        </w:tc>
        <w:tc>
          <w:tcPr>
            <w:tcW w:w="81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443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一、本年新收政府信息公开申请数量</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90" w:hRule="atLeast"/>
          <w:jc w:val="center"/>
        </w:trPr>
        <w:tc>
          <w:tcPr>
            <w:tcW w:w="443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二、上年结转政府信息公开申请数量</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67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三、本年度办理结果</w:t>
            </w:r>
          </w:p>
        </w:tc>
        <w:tc>
          <w:tcPr>
            <w:tcW w:w="375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（一）予以公开</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375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Style w:val="8"/>
                <w:lang w:val="en-US" w:eastAsia="zh-CN" w:bidi="ar-SA"/>
              </w:rPr>
              <w:t>（二）部分公开</w:t>
            </w:r>
            <w:r>
              <w:rPr>
                <w:rFonts w:hint="eastAsia" w:ascii="楷体" w:hAnsi="楷体" w:eastAsia="楷体" w:cs="楷体"/>
                <w:i w:val="0"/>
                <w:color w:val="000000"/>
                <w:kern w:val="0"/>
                <w:sz w:val="20"/>
                <w:szCs w:val="20"/>
                <w:u w:val="none"/>
                <w:lang w:val="en-US" w:eastAsia="zh-CN" w:bidi="ar-SA"/>
              </w:rPr>
              <w:t>（区分处理的，只计这一情形，不计其他情形）</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（三）不予公开</w:t>
            </w: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1.属于国家秘密</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2.其他法律行政法规禁止公开</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3.危及“三安全一稳定”</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15"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4.保护第三方合法权益</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5.属于三类内部事务信息</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6.属于四类过程性信息</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7.属于行政执法案卷</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8.属于行政查询事项</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（四）无法提供</w:t>
            </w: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1.本机关不掌握相关政府信息</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2.没有现成信息需要另行制作</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3.补正后申请内容仍不明确</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（五）不予处理</w:t>
            </w: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1.信访举报投诉类申请</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2.重复申请</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3.要求提供公开出版物</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4.无正当理由大量反复申请</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059"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5.要求行政机关确认或重新出具已获取信息</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355"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12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（六）其他处理</w:t>
            </w:r>
          </w:p>
        </w:tc>
        <w:tc>
          <w:tcPr>
            <w:tcW w:w="2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1.申请人无正当理由逾期不补正、行政机关不再处理其政府信息公开申请</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613"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2.申请人逾期未按收费通知要求缴纳费用、行政机关不再处理其政府信息公开申请</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129"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6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3.其他</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676"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375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（七）总计</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77" w:hRule="atLeast"/>
          <w:jc w:val="center"/>
        </w:trPr>
        <w:tc>
          <w:tcPr>
            <w:tcW w:w="443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四、结转下年度继续办理</w:t>
            </w:r>
          </w:p>
        </w:tc>
        <w:tc>
          <w:tcPr>
            <w:tcW w:w="876"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1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5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48"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31"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81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四、政府信息公开行政复议、行政诉讼情况</w:t>
      </w:r>
    </w:p>
    <w:tbl>
      <w:tblPr>
        <w:tblStyle w:val="3"/>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8"/>
        <w:gridCol w:w="702"/>
        <w:gridCol w:w="704"/>
        <w:gridCol w:w="706"/>
        <w:gridCol w:w="625"/>
        <w:gridCol w:w="704"/>
        <w:gridCol w:w="703"/>
        <w:gridCol w:w="707"/>
        <w:gridCol w:w="702"/>
        <w:gridCol w:w="704"/>
        <w:gridCol w:w="706"/>
        <w:gridCol w:w="702"/>
        <w:gridCol w:w="668"/>
        <w:gridCol w:w="538"/>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2427"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4933" w:type="dxa"/>
            <w:gridSpan w:val="10"/>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restart"/>
            <w:tcBorders>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08" w:type="dxa"/>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50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451" w:type="dxa"/>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2539"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2394"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7"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果 </w:t>
            </w:r>
          </w:p>
        </w:tc>
        <w:tc>
          <w:tcPr>
            <w:tcW w:w="5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结 </w:t>
            </w:r>
          </w:p>
        </w:tc>
        <w:tc>
          <w:tcPr>
            <w:tcW w:w="50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50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482"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38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509" w:type="dxa"/>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jc w:val="center"/>
        </w:trPr>
        <w:tc>
          <w:tcPr>
            <w:tcW w:w="453" w:type="dxa"/>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451"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7"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10"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482"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388"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（一）主要问题：</w:t>
      </w:r>
      <w:r>
        <w:rPr>
          <w:rFonts w:ascii="仿宋_GB2312" w:hAnsi="宋体" w:eastAsia="仿宋_GB2312" w:cs="仿宋_GB2312"/>
          <w:i w:val="0"/>
          <w:caps w:val="0"/>
          <w:color w:val="333333"/>
          <w:spacing w:val="0"/>
          <w:sz w:val="32"/>
          <w:szCs w:val="32"/>
          <w:shd w:val="clear" w:fill="FFFFFF"/>
        </w:rPr>
        <w:t>2023年</w:t>
      </w:r>
      <w:r>
        <w:rPr>
          <w:rFonts w:hint="eastAsia" w:ascii="仿宋_GB2312" w:hAnsi="仿宋_GB2312" w:eastAsia="仿宋_GB2312" w:cs="仿宋_GB2312"/>
          <w:color w:val="121212"/>
          <w:sz w:val="32"/>
          <w:szCs w:val="32"/>
          <w:lang w:val="en-US" w:eastAsia="zh-CN"/>
        </w:rPr>
        <w:t>，</w:t>
      </w:r>
      <w:r>
        <w:rPr>
          <w:rFonts w:hint="eastAsia" w:ascii="仿宋_GB2312" w:hAnsi="仿宋_GB2312" w:cs="仿宋_GB2312"/>
          <w:color w:val="121212"/>
          <w:sz w:val="32"/>
          <w:szCs w:val="32"/>
          <w:highlight w:val="none"/>
          <w:lang w:val="en-US" w:eastAsia="zh-CN"/>
        </w:rPr>
        <w:t>蜚克图街道办事处</w:t>
      </w:r>
      <w:r>
        <w:rPr>
          <w:rFonts w:hint="eastAsia" w:ascii="仿宋_GB2312" w:hAnsi="仿宋_GB2312" w:eastAsia="仿宋_GB2312" w:cs="仿宋_GB2312"/>
          <w:color w:val="121212"/>
          <w:sz w:val="32"/>
          <w:szCs w:val="32"/>
          <w:lang w:val="en-US" w:eastAsia="zh-CN"/>
        </w:rPr>
        <w:t>信息公开主要在深化公开内容、创新公开形式、规范政府信息公开行为等方面存在不足</w:t>
      </w:r>
      <w:r>
        <w:rPr>
          <w:rFonts w:hint="eastAsia" w:ascii="仿宋_GB2312" w:hAnsi="仿宋_GB2312" w:cs="仿宋_GB2312"/>
          <w:color w:val="121212"/>
          <w:sz w:val="32"/>
          <w:szCs w:val="32"/>
          <w:lang w:val="en-US" w:eastAsia="zh-CN"/>
        </w:rPr>
        <w:t>。</w:t>
      </w:r>
      <w:r>
        <w:rPr>
          <w:rFonts w:hint="eastAsia" w:ascii="仿宋_GB2312" w:hAnsi="仿宋_GB2312" w:eastAsia="仿宋_GB2312" w:cs="仿宋_GB2312"/>
          <w:color w:val="121212"/>
          <w:sz w:val="32"/>
          <w:szCs w:val="32"/>
          <w:lang w:val="en-US" w:eastAsia="zh-CN"/>
        </w:rPr>
        <w:t xml:space="preserve"> </w:t>
      </w:r>
      <w:r>
        <w:rPr>
          <w:rFonts w:hint="eastAsia" w:ascii="仿宋_GB2312" w:hAnsi="仿宋_GB2312" w:cs="仿宋_GB2312"/>
          <w:color w:val="1212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121212"/>
          <w:sz w:val="32"/>
          <w:szCs w:val="32"/>
          <w:lang w:val="en-US" w:eastAsia="zh-CN"/>
        </w:rPr>
        <w:t>（二）</w:t>
      </w:r>
      <w:r>
        <w:rPr>
          <w:rFonts w:hint="eastAsia" w:ascii="仿宋_GB2312" w:hAnsi="仿宋_GB2312" w:eastAsia="仿宋_GB2312" w:cs="仿宋_GB2312"/>
          <w:color w:val="121212"/>
          <w:sz w:val="32"/>
          <w:szCs w:val="32"/>
          <w:lang w:val="en-US" w:eastAsia="zh-CN"/>
        </w:rPr>
        <w:t>改进情况：</w:t>
      </w:r>
      <w:r>
        <w:rPr>
          <w:rFonts w:hint="default" w:ascii="仿宋_GB2312" w:hAnsi="仿宋_GB2312" w:cs="仿宋_GB2312"/>
          <w:color w:val="121212"/>
          <w:sz w:val="32"/>
          <w:szCs w:val="32"/>
          <w:lang w:val="en" w:eastAsia="zh-CN"/>
        </w:rPr>
        <w:t>2024</w:t>
      </w:r>
      <w:r>
        <w:rPr>
          <w:rFonts w:hint="eastAsia" w:ascii="仿宋_GB2312" w:hAnsi="仿宋_GB2312" w:cs="仿宋_GB2312"/>
          <w:color w:val="121212"/>
          <w:sz w:val="32"/>
          <w:szCs w:val="32"/>
          <w:lang w:val="en" w:eastAsia="zh-CN"/>
        </w:rPr>
        <w:t>年，</w:t>
      </w:r>
      <w:r>
        <w:rPr>
          <w:rFonts w:hint="eastAsia" w:ascii="仿宋_GB2312" w:hAnsi="仿宋_GB2312" w:eastAsia="仿宋_GB2312" w:cs="仿宋_GB2312"/>
          <w:color w:val="121212"/>
          <w:sz w:val="32"/>
          <w:szCs w:val="32"/>
          <w:lang w:val="en-US" w:eastAsia="zh-CN"/>
        </w:rPr>
        <w:t>一是统一认识,努力规范工作流程，确保政府信息公开工作能按照既定的工作流程有效运作，公众能够方便查询。二是及时公开，逐步扩大公开内容，保证公开信息的完整性和准确性</w:t>
      </w:r>
      <w:r>
        <w:rPr>
          <w:rFonts w:hint="eastAsia" w:ascii="仿宋_GB2312" w:hAnsi="仿宋_GB2312" w:cs="仿宋_GB2312"/>
          <w:color w:val="121212"/>
          <w:sz w:val="32"/>
          <w:szCs w:val="32"/>
          <w:lang w:val="en-US" w:eastAsia="zh-CN"/>
        </w:rPr>
        <w:t>。</w:t>
      </w:r>
      <w:r>
        <w:rPr>
          <w:rFonts w:hint="eastAsia" w:ascii="仿宋_GB2312" w:hAnsi="仿宋_GB2312" w:eastAsia="仿宋_GB2312" w:cs="仿宋_GB2312"/>
          <w:color w:val="auto"/>
          <w:sz w:val="32"/>
          <w:szCs w:val="32"/>
          <w:lang w:val="en-US" w:eastAsia="zh-CN"/>
        </w:rPr>
        <w:t>增强公开的实用性、时效性。同时加大新媒体参与度，为公众获取政府信息提供多样化平台，创造更加便利的条件。使</w:t>
      </w:r>
      <w:r>
        <w:rPr>
          <w:rFonts w:hint="eastAsia" w:ascii="仿宋_GB2312" w:hAnsi="仿宋_GB2312" w:cs="仿宋_GB2312"/>
          <w:color w:val="auto"/>
          <w:sz w:val="32"/>
          <w:szCs w:val="32"/>
          <w:lang w:val="en-US" w:eastAsia="zh-CN"/>
        </w:rPr>
        <w:t>2024年</w:t>
      </w:r>
      <w:r>
        <w:rPr>
          <w:rFonts w:hint="eastAsia" w:ascii="仿宋_GB2312" w:hAnsi="仿宋_GB2312" w:eastAsia="仿宋_GB2312" w:cs="仿宋_GB2312"/>
          <w:color w:val="auto"/>
          <w:sz w:val="32"/>
          <w:szCs w:val="32"/>
          <w:lang w:val="en-US" w:eastAsia="zh-CN"/>
        </w:rPr>
        <w:t>蜚克图街道办事处政务公开相关工作迈上新台阶。</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2023年，无涉及《政府信息公开信息处理费管理办法》中规定的收取信息处理费情况。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color w:val="121212"/>
          <w:sz w:val="32"/>
          <w:szCs w:val="32"/>
          <w:lang w:val="en-US" w:eastAsia="zh-CN"/>
        </w:rPr>
      </w:pPr>
    </w:p>
    <w:sectPr>
      <w:footerReference r:id="rId3" w:type="default"/>
      <w:footerReference r:id="rId4" w:type="even"/>
      <w:pgSz w:w="11906" w:h="16838"/>
      <w:pgMar w:top="2041" w:right="1474" w:bottom="1928"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DEEF9"/>
    <w:multiLevelType w:val="singleLevel"/>
    <w:tmpl w:val="D61DEEF9"/>
    <w:lvl w:ilvl="0" w:tentative="0">
      <w:start w:val="2"/>
      <w:numFmt w:val="chineseCounting"/>
      <w:suff w:val="nothing"/>
      <w:lvlText w:val="（%1）"/>
      <w:lvlJc w:val="left"/>
      <w:rPr>
        <w:rFonts w:hint="eastAsia"/>
      </w:rPr>
    </w:lvl>
  </w:abstractNum>
  <w:abstractNum w:abstractNumId="1">
    <w:nsid w:val="7F796EE0"/>
    <w:multiLevelType w:val="singleLevel"/>
    <w:tmpl w:val="7F796EE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zFhNDY3YWY2YzI3NzY1ZDFlMDUxZjFlYTc5YTIifQ=="/>
  </w:docVars>
  <w:rsids>
    <w:rsidRoot w:val="48984D55"/>
    <w:rsid w:val="078801B7"/>
    <w:rsid w:val="07C9269B"/>
    <w:rsid w:val="0E060087"/>
    <w:rsid w:val="171F22F9"/>
    <w:rsid w:val="17DF02C7"/>
    <w:rsid w:val="19A85AD8"/>
    <w:rsid w:val="1E707ECB"/>
    <w:rsid w:val="23E00B2A"/>
    <w:rsid w:val="2B607046"/>
    <w:rsid w:val="2E6938F5"/>
    <w:rsid w:val="32BD65D7"/>
    <w:rsid w:val="357065AB"/>
    <w:rsid w:val="35906305"/>
    <w:rsid w:val="37E81373"/>
    <w:rsid w:val="3A0C5563"/>
    <w:rsid w:val="41164AB3"/>
    <w:rsid w:val="4214206C"/>
    <w:rsid w:val="48984D55"/>
    <w:rsid w:val="544844BA"/>
    <w:rsid w:val="59DC09C9"/>
    <w:rsid w:val="5B22161E"/>
    <w:rsid w:val="5C961BA3"/>
    <w:rsid w:val="62437CF0"/>
    <w:rsid w:val="69085BD7"/>
    <w:rsid w:val="69260270"/>
    <w:rsid w:val="6DE06495"/>
    <w:rsid w:val="77CFD9A0"/>
    <w:rsid w:val="79BD656A"/>
    <w:rsid w:val="BBE73132"/>
    <w:rsid w:val="DBEF13C6"/>
    <w:rsid w:val="F7EFE292"/>
    <w:rsid w:val="FEECF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customStyle="1" w:styleId="5">
    <w:name w:val="font21"/>
    <w:basedOn w:val="4"/>
    <w:qFormat/>
    <w:uiPriority w:val="0"/>
    <w:rPr>
      <w:rFonts w:hint="eastAsia" w:ascii="宋体" w:hAnsi="宋体" w:eastAsia="宋体" w:cs="宋体"/>
      <w:color w:val="000000"/>
      <w:sz w:val="20"/>
      <w:szCs w:val="20"/>
      <w:u w:val="none"/>
    </w:rPr>
  </w:style>
  <w:style w:type="paragraph" w:customStyle="1" w:styleId="6">
    <w:name w:val="Char"/>
    <w:basedOn w:val="1"/>
    <w:qFormat/>
    <w:uiPriority w:val="0"/>
    <w:pPr>
      <w:tabs>
        <w:tab w:val="left" w:pos="360"/>
      </w:tabs>
    </w:pPr>
    <w:rPr>
      <w:sz w:val="24"/>
    </w:rPr>
  </w:style>
  <w:style w:type="character" w:customStyle="1" w:styleId="7">
    <w:name w:val="font01"/>
    <w:basedOn w:val="4"/>
    <w:qFormat/>
    <w:uiPriority w:val="0"/>
    <w:rPr>
      <w:rFonts w:ascii="Calibri" w:hAnsi="Calibri" w:cs="Calibri"/>
      <w:color w:val="000000"/>
      <w:sz w:val="20"/>
      <w:szCs w:val="20"/>
      <w:u w:val="none"/>
    </w:rPr>
  </w:style>
  <w:style w:type="character" w:customStyle="1" w:styleId="8">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2490</Words>
  <Characters>2585</Characters>
  <Lines>0</Lines>
  <Paragraphs>0</Paragraphs>
  <TotalTime>0</TotalTime>
  <ScaleCrop>false</ScaleCrop>
  <LinksUpToDate>false</LinksUpToDate>
  <CharactersWithSpaces>2637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2022-12-29T18:04:00Z</dcterms:created>
  <dc:creator>大承将军</dc:creator>
  <cp:lastModifiedBy>微工匠</cp:lastModifiedBy>
  <dcterms:modified xsi:type="dcterms:W3CDTF">2024-02-04T08:59:31Z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A80D0957FD0846339057270943DC13EA</vt:lpwstr>
  </property>
</Properties>
</file>